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宋体"/>
          <w:b/>
          <w:spacing w:val="170"/>
          <w:kern w:val="0"/>
          <w:sz w:val="84"/>
          <w:szCs w:val="84"/>
        </w:rPr>
      </w:pPr>
    </w:p>
    <w:p>
      <w:pPr>
        <w:snapToGrid w:val="0"/>
        <w:spacing w:line="360" w:lineRule="auto"/>
        <w:jc w:val="center"/>
        <w:rPr>
          <w:rFonts w:ascii="宋体" w:hAnsi="宋体" w:cs="宋体"/>
          <w:b/>
          <w:spacing w:val="170"/>
          <w:kern w:val="0"/>
          <w:sz w:val="84"/>
          <w:szCs w:val="84"/>
        </w:rPr>
      </w:pPr>
      <w:r>
        <w:rPr>
          <w:rFonts w:hint="eastAsia" w:ascii="宋体" w:hAnsi="宋体" w:cs="宋体"/>
          <w:b/>
          <w:spacing w:val="170"/>
          <w:kern w:val="0"/>
          <w:sz w:val="84"/>
          <w:szCs w:val="84"/>
        </w:rPr>
        <w:t>询价通知书</w:t>
      </w:r>
    </w:p>
    <w:p>
      <w:pPr>
        <w:tabs>
          <w:tab w:val="left" w:pos="2450"/>
        </w:tabs>
        <w:spacing w:line="680" w:lineRule="exact"/>
        <w:rPr>
          <w:rFonts w:ascii="宋体" w:hAnsi="宋体" w:cs="宋体"/>
          <w:sz w:val="44"/>
          <w:szCs w:val="44"/>
        </w:rPr>
      </w:pPr>
      <w:r>
        <w:rPr>
          <w:rFonts w:hint="eastAsia"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260" w:firstLineChars="450"/>
        <w:rPr>
          <w:rFonts w:hint="eastAsia" w:ascii="宋体" w:hAnsi="宋体" w:eastAsia="宋体" w:cs="宋体"/>
          <w:bCs/>
          <w:sz w:val="28"/>
          <w:szCs w:val="32"/>
          <w:lang w:eastAsia="zh-CN"/>
        </w:rPr>
      </w:pPr>
      <w:r>
        <w:rPr>
          <w:rFonts w:hint="eastAsia" w:ascii="宋体" w:hAnsi="宋体" w:cs="宋体"/>
          <w:bCs/>
          <w:sz w:val="28"/>
          <w:szCs w:val="32"/>
        </w:rPr>
        <w:t>采购项目编号：</w:t>
      </w:r>
      <w:r>
        <w:rPr>
          <w:rFonts w:hint="eastAsia" w:ascii="宋体" w:hAnsi="宋体" w:cs="宋体"/>
          <w:bCs/>
          <w:sz w:val="28"/>
          <w:szCs w:val="32"/>
          <w:lang w:eastAsia="zh-CN"/>
        </w:rPr>
        <w:t>CT-SX-2021029</w:t>
      </w:r>
    </w:p>
    <w:p>
      <w:pPr>
        <w:adjustRightInd w:val="0"/>
        <w:snapToGrid w:val="0"/>
        <w:spacing w:line="800" w:lineRule="exact"/>
        <w:ind w:firstLine="1260" w:firstLineChars="450"/>
        <w:rPr>
          <w:rFonts w:hint="eastAsia" w:ascii="宋体" w:hAnsi="宋体" w:cs="宋体"/>
          <w:sz w:val="28"/>
          <w:szCs w:val="32"/>
          <w:lang w:eastAsia="zh-CN"/>
        </w:rPr>
      </w:pPr>
      <w:r>
        <w:rPr>
          <w:rFonts w:hint="eastAsia" w:ascii="宋体" w:hAnsi="宋体" w:cs="宋体"/>
          <w:bCs/>
          <w:sz w:val="28"/>
          <w:szCs w:val="32"/>
        </w:rPr>
        <w:t>采购项目名称：</w:t>
      </w:r>
      <w:r>
        <w:rPr>
          <w:rFonts w:hint="eastAsia" w:ascii="宋体" w:hAnsi="宋体" w:cs="宋体"/>
          <w:sz w:val="28"/>
          <w:szCs w:val="32"/>
          <w:lang w:eastAsia="zh-CN"/>
        </w:rPr>
        <w:t>防火墙设备采购及安装项目</w:t>
      </w:r>
    </w:p>
    <w:p>
      <w:pPr>
        <w:adjustRightInd w:val="0"/>
        <w:snapToGrid w:val="0"/>
        <w:spacing w:line="800" w:lineRule="exact"/>
        <w:ind w:firstLine="1260" w:firstLineChars="450"/>
        <w:rPr>
          <w:rFonts w:hint="eastAsia" w:ascii="宋体" w:hAnsi="宋体" w:eastAsia="宋体" w:cs="宋体"/>
          <w:bCs/>
          <w:sz w:val="28"/>
          <w:szCs w:val="32"/>
          <w:lang w:eastAsia="zh-CN"/>
        </w:rPr>
      </w:pPr>
      <w:r>
        <w:rPr>
          <w:rFonts w:hint="eastAsia" w:ascii="宋体" w:hAnsi="宋体" w:cs="宋体"/>
          <w:bCs/>
          <w:sz w:val="28"/>
          <w:szCs w:val="32"/>
        </w:rPr>
        <w:t>采 购 人名称：</w:t>
      </w:r>
      <w:r>
        <w:rPr>
          <w:rFonts w:hint="eastAsia" w:ascii="宋体" w:hAnsi="宋体" w:cs="宋体"/>
          <w:bCs/>
          <w:sz w:val="28"/>
          <w:szCs w:val="32"/>
          <w:lang w:eastAsia="zh-CN"/>
        </w:rPr>
        <w:t>常州市应急保障中心</w:t>
      </w:r>
    </w:p>
    <w:p>
      <w:pPr>
        <w:adjustRightInd w:val="0"/>
        <w:snapToGrid w:val="0"/>
        <w:spacing w:line="800" w:lineRule="exact"/>
        <w:ind w:firstLine="2640" w:firstLineChars="600"/>
        <w:rPr>
          <w:rFonts w:ascii="宋体" w:hAnsi="宋体" w:cs="宋体"/>
          <w:sz w:val="44"/>
          <w:szCs w:val="44"/>
        </w:rPr>
      </w:pPr>
    </w:p>
    <w:p>
      <w:pPr>
        <w:spacing w:line="680" w:lineRule="exact"/>
        <w:jc w:val="center"/>
        <w:rPr>
          <w:rFonts w:ascii="宋体" w:hAnsi="宋体" w:cs="宋体"/>
          <w:sz w:val="44"/>
          <w:szCs w:val="44"/>
        </w:rPr>
      </w:pPr>
    </w:p>
    <w:p>
      <w:pPr>
        <w:pStyle w:val="2"/>
        <w:rPr>
          <w:rFonts w:ascii="宋体" w:hAnsi="宋体" w:cs="宋体"/>
          <w:sz w:val="44"/>
          <w:szCs w:val="44"/>
        </w:rPr>
      </w:pPr>
    </w:p>
    <w:p>
      <w:pPr>
        <w:rPr>
          <w:rFonts w:ascii="宋体" w:hAnsi="宋体" w:cs="宋体"/>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jc w:val="center"/>
        <w:rPr>
          <w:rFonts w:ascii="宋体" w:hAnsi="宋体" w:cs="宋体"/>
          <w:b/>
          <w:sz w:val="30"/>
        </w:rPr>
      </w:pPr>
      <w:r>
        <w:rPr>
          <w:rFonts w:hint="eastAsia" w:ascii="宋体" w:hAnsi="宋体" w:cs="宋体"/>
          <w:w w:val="90"/>
          <w:sz w:val="44"/>
          <w:szCs w:val="44"/>
        </w:rPr>
        <w:t>二〇二一年</w:t>
      </w:r>
      <w:r>
        <w:rPr>
          <w:rFonts w:hint="eastAsia" w:ascii="宋体" w:hAnsi="宋体" w:cs="宋体"/>
          <w:w w:val="90"/>
          <w:sz w:val="44"/>
          <w:szCs w:val="44"/>
          <w:lang w:val="en-US" w:eastAsia="zh-CN"/>
        </w:rPr>
        <w:t>九</w:t>
      </w:r>
      <w:r>
        <w:rPr>
          <w:rFonts w:hint="eastAsia" w:ascii="宋体" w:hAnsi="宋体" w:cs="宋体"/>
          <w:w w:val="90"/>
          <w:sz w:val="44"/>
          <w:szCs w:val="44"/>
        </w:rPr>
        <w:t>月</w:t>
      </w:r>
    </w:p>
    <w:p>
      <w:pPr>
        <w:rPr>
          <w:rFonts w:ascii="宋体" w:hAnsi="宋体" w:cs="宋体"/>
          <w:b/>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b/>
          <w:sz w:val="32"/>
          <w:szCs w:val="32"/>
          <w:lang w:eastAsia="zh-CN"/>
        </w:rPr>
      </w:pPr>
      <w:r>
        <w:rPr>
          <w:rFonts w:hint="eastAsia" w:ascii="宋体" w:hAnsi="宋体" w:cs="宋体"/>
          <w:b/>
          <w:sz w:val="32"/>
          <w:szCs w:val="32"/>
          <w:lang w:eastAsia="zh-CN"/>
        </w:rPr>
        <w:t>常州市应急保障中心防火墙设备采购及安装项目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sz w:val="32"/>
          <w:szCs w:val="32"/>
        </w:rPr>
      </w:pPr>
      <w:r>
        <w:rPr>
          <w:rFonts w:hint="eastAsia" w:ascii="宋体" w:hAnsi="宋体" w:cs="宋体"/>
          <w:b/>
          <w:sz w:val="32"/>
          <w:szCs w:val="32"/>
        </w:rPr>
        <w:t>询价公告</w:t>
      </w:r>
    </w:p>
    <w:p>
      <w:pPr>
        <w:keepNext w:val="0"/>
        <w:keepLines w:val="0"/>
        <w:pageBreakBefore w:val="0"/>
        <w:widowControl w:val="0"/>
        <w:pBdr>
          <w:top w:val="single" w:color="auto" w:sz="4" w:space="1"/>
          <w:left w:val="single" w:color="auto" w:sz="4" w:space="4"/>
          <w:bottom w:val="single" w:color="auto" w:sz="4" w:space="10"/>
          <w:right w:val="single" w:color="auto" w:sz="4" w:space="4"/>
        </w:pBd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项目概况</w:t>
      </w:r>
    </w:p>
    <w:p>
      <w:pPr>
        <w:keepNext w:val="0"/>
        <w:keepLines w:val="0"/>
        <w:pageBreakBefore w:val="0"/>
        <w:widowControl w:val="0"/>
        <w:pBdr>
          <w:top w:val="single" w:color="auto" w:sz="4" w:space="1"/>
          <w:left w:val="single" w:color="auto" w:sz="4" w:space="4"/>
          <w:bottom w:val="single" w:color="auto" w:sz="4" w:space="10"/>
          <w:right w:val="single" w:color="auto" w:sz="4" w:space="4"/>
        </w:pBdr>
        <w:kinsoku/>
        <w:wordWrap/>
        <w:overflowPunct/>
        <w:topLinePunct w:val="0"/>
        <w:autoSpaceDE/>
        <w:autoSpaceDN/>
        <w:bidi w:val="0"/>
        <w:adjustRightInd w:val="0"/>
        <w:snapToGrid w:val="0"/>
        <w:spacing w:line="360" w:lineRule="exact"/>
        <w:ind w:firstLine="422" w:firstLineChars="200"/>
        <w:textAlignment w:val="auto"/>
        <w:rPr>
          <w:rFonts w:ascii="宋体" w:hAnsi="宋体" w:cs="宋体"/>
          <w:szCs w:val="21"/>
        </w:rPr>
      </w:pPr>
      <w:r>
        <w:rPr>
          <w:rFonts w:hint="eastAsia" w:ascii="宋体" w:hAnsi="宋体" w:cs="宋体"/>
          <w:b/>
          <w:szCs w:val="21"/>
        </w:rPr>
        <w:t>常州市应急保障中心</w:t>
      </w:r>
      <w:r>
        <w:rPr>
          <w:rFonts w:hint="eastAsia" w:ascii="宋体" w:hAnsi="宋体" w:cs="宋体"/>
          <w:b/>
          <w:szCs w:val="21"/>
          <w:lang w:eastAsia="zh-CN"/>
        </w:rPr>
        <w:t>防火墙设备采购及安装项目</w:t>
      </w:r>
      <w:r>
        <w:rPr>
          <w:rFonts w:hint="eastAsia" w:ascii="宋体" w:hAnsi="宋体" w:cs="宋体"/>
          <w:szCs w:val="21"/>
        </w:rPr>
        <w:t>的潜在供应商应在常州市城投建设工程招标有限公司获取采购文件，并于</w:t>
      </w:r>
      <w:r>
        <w:rPr>
          <w:rFonts w:hint="eastAsia" w:ascii="宋体" w:hAnsi="宋体" w:cs="宋体"/>
          <w:b/>
          <w:bCs/>
          <w:szCs w:val="21"/>
          <w:lang w:eastAsia="zh-CN"/>
        </w:rPr>
        <w:t>2021年9月30日15：00</w:t>
      </w:r>
      <w:r>
        <w:rPr>
          <w:rFonts w:hint="eastAsia" w:ascii="宋体" w:hAnsi="宋体" w:cs="宋体"/>
          <w:b/>
          <w:bCs/>
          <w:szCs w:val="21"/>
        </w:rPr>
        <w:t>（北京时间）</w:t>
      </w:r>
      <w:r>
        <w:rPr>
          <w:rFonts w:hint="eastAsia" w:ascii="宋体" w:hAnsi="宋体" w:cs="宋体"/>
          <w:szCs w:val="21"/>
        </w:rPr>
        <w:t>前提交响应文件。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一、项目基本情况</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1.项目编号：</w:t>
      </w:r>
      <w:r>
        <w:rPr>
          <w:rFonts w:hint="eastAsia" w:ascii="宋体" w:hAnsi="宋体" w:cs="宋体"/>
          <w:szCs w:val="21"/>
          <w:lang w:eastAsia="zh-CN"/>
        </w:rPr>
        <w:t>CT-SX-2021029</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b/>
          <w:szCs w:val="21"/>
          <w:lang w:eastAsia="zh-CN"/>
        </w:rPr>
      </w:pPr>
      <w:r>
        <w:rPr>
          <w:rFonts w:hint="eastAsia" w:ascii="宋体" w:hAnsi="宋体" w:cs="宋体"/>
          <w:szCs w:val="21"/>
        </w:rPr>
        <w:t>2.项目名称：</w:t>
      </w:r>
      <w:r>
        <w:rPr>
          <w:rFonts w:hint="eastAsia" w:ascii="宋体" w:hAnsi="宋体" w:cs="宋体"/>
          <w:bCs/>
          <w:szCs w:val="21"/>
          <w:lang w:eastAsia="zh-CN"/>
        </w:rPr>
        <w:t>常州市应急保障中心防火墙设备采购及安装项目</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3.采购方式：询价</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b/>
          <w:bCs/>
          <w:color w:val="000000"/>
          <w:szCs w:val="21"/>
        </w:rPr>
      </w:pPr>
      <w:r>
        <w:rPr>
          <w:rFonts w:hint="eastAsia" w:ascii="宋体" w:hAnsi="宋体" w:cs="宋体"/>
          <w:color w:val="000000" w:themeColor="text1"/>
          <w:szCs w:val="21"/>
        </w:rPr>
        <w:t>4.</w:t>
      </w:r>
      <w:r>
        <w:rPr>
          <w:rFonts w:hint="eastAsia" w:ascii="宋体" w:hAnsi="宋体" w:cs="宋体"/>
          <w:b/>
          <w:spacing w:val="2"/>
          <w:szCs w:val="21"/>
        </w:rPr>
        <w:t>项目预算及最高限价：</w:t>
      </w:r>
      <w:r>
        <w:rPr>
          <w:rFonts w:hint="eastAsia" w:ascii="宋体" w:hAnsi="宋体" w:cs="宋体"/>
          <w:b/>
          <w:color w:val="auto"/>
          <w:spacing w:val="2"/>
          <w:szCs w:val="21"/>
        </w:rPr>
        <w:t>人民币</w:t>
      </w:r>
      <w:r>
        <w:rPr>
          <w:rFonts w:hint="eastAsia" w:ascii="宋体" w:hAnsi="宋体" w:cs="宋体"/>
          <w:b/>
          <w:color w:val="auto"/>
          <w:spacing w:val="2"/>
          <w:szCs w:val="21"/>
          <w:lang w:val="en-US" w:eastAsia="zh-CN"/>
        </w:rPr>
        <w:t>35000</w:t>
      </w:r>
      <w:r>
        <w:rPr>
          <w:rFonts w:hint="eastAsia" w:ascii="宋体" w:hAnsi="宋体" w:cs="宋体"/>
          <w:b/>
          <w:color w:val="auto"/>
          <w:spacing w:val="2"/>
          <w:szCs w:val="21"/>
        </w:rPr>
        <w:t>元</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szCs w:val="21"/>
        </w:rPr>
        <w:t>5.采购需求：本项目是</w:t>
      </w:r>
      <w:r>
        <w:rPr>
          <w:rFonts w:hint="eastAsia" w:ascii="宋体" w:hAnsi="宋体" w:cs="宋体"/>
          <w:bCs/>
          <w:szCs w:val="21"/>
          <w:lang w:eastAsia="zh-CN"/>
        </w:rPr>
        <w:t>常州市应急保障中心防火墙设备采购及安装项目</w:t>
      </w:r>
      <w:r>
        <w:rPr>
          <w:rFonts w:hint="eastAsia" w:ascii="宋体" w:hAnsi="宋体" w:cs="宋体"/>
          <w:szCs w:val="21"/>
        </w:rPr>
        <w:t>，具体内容包括：</w:t>
      </w:r>
      <w:r>
        <w:rPr>
          <w:rFonts w:hint="eastAsia" w:ascii="宋体" w:hAnsi="宋体" w:cs="宋体"/>
          <w:bCs/>
          <w:szCs w:val="21"/>
        </w:rPr>
        <w:t>货物的制造（采购）、运输、装卸、安装、调试、测试、售后服务、技术培训等，直至通过验收以及质量保修、免费维保等全部工作。</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szCs w:val="21"/>
        </w:rPr>
      </w:pPr>
      <w:r>
        <w:rPr>
          <w:rFonts w:hint="eastAsia" w:ascii="宋体" w:hAnsi="宋体" w:cs="宋体"/>
          <w:szCs w:val="21"/>
        </w:rPr>
        <w:t>6.合同履行期限：</w:t>
      </w:r>
      <w:r>
        <w:rPr>
          <w:rFonts w:hint="eastAsia" w:ascii="宋体" w:hAnsi="宋体" w:eastAsia="宋体" w:cs="宋体"/>
          <w:szCs w:val="21"/>
        </w:rPr>
        <w:t>自合同签订之日起30日内将货物送至指定地点并安装、调试完毕。</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color w:val="000000" w:themeColor="text1"/>
          <w:szCs w:val="21"/>
        </w:rPr>
        <w:t>7.本项目不接受联合体。</w:t>
      </w:r>
    </w:p>
    <w:p>
      <w:pPr>
        <w:keepNext w:val="0"/>
        <w:keepLines w:val="0"/>
        <w:pageBreakBefore w:val="0"/>
        <w:widowControl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color w:val="000000" w:themeColor="text1"/>
          <w:kern w:val="0"/>
          <w:szCs w:val="21"/>
        </w:rPr>
      </w:pPr>
      <w:r>
        <w:rPr>
          <w:rFonts w:hint="eastAsia" w:ascii="宋体" w:hAnsi="宋体" w:cs="宋体"/>
          <w:b/>
          <w:color w:val="000000" w:themeColor="text1"/>
          <w:kern w:val="0"/>
          <w:szCs w:val="21"/>
        </w:rPr>
        <w:t xml:space="preserve">二、申请人的资格要求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szCs w:val="21"/>
        </w:rPr>
        <w:t>在中华人民共和国境内注册，</w:t>
      </w:r>
      <w:r>
        <w:rPr>
          <w:rFonts w:hint="eastAsia" w:ascii="宋体" w:hAnsi="宋体" w:cs="宋体"/>
          <w:color w:val="000000"/>
          <w:szCs w:val="21"/>
        </w:rPr>
        <w:t xml:space="preserve">具有独立承担民事责任的能力；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 xml:space="preserve">5.参加采购活动前三年内，在经营活动中没有重大违法记录；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7.单位负责人为同一人或者存在直接控股、管理关系的不同供应商，不得参加同一合同项下的采购活动；</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color w:val="000000"/>
          <w:szCs w:val="21"/>
        </w:rPr>
        <w:t>8.未被“信用中国”网站（www.creditchina.gov.cn）列入失信被执行人、重大税收违法案件当事人名</w:t>
      </w:r>
      <w:r>
        <w:rPr>
          <w:rFonts w:hint="eastAsia" w:ascii="宋体" w:hAnsi="宋体" w:cs="宋体"/>
          <w:szCs w:val="21"/>
        </w:rPr>
        <w:t>单、严重失信行为记录名单</w:t>
      </w:r>
      <w:r>
        <w:rPr>
          <w:rFonts w:hint="eastAsia" w:ascii="宋体" w:hAnsi="宋体" w:cs="宋体"/>
          <w:bCs/>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三、获取采购文件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1.时间：</w:t>
      </w:r>
      <w:r>
        <w:rPr>
          <w:rFonts w:hint="eastAsia" w:ascii="宋体" w:hAnsi="宋体" w:cs="宋体"/>
          <w:b/>
          <w:bCs/>
          <w:kern w:val="0"/>
          <w:szCs w:val="21"/>
        </w:rPr>
        <w:t>2021年</w:t>
      </w:r>
      <w:r>
        <w:rPr>
          <w:rFonts w:hint="eastAsia" w:ascii="宋体" w:hAnsi="宋体" w:cs="宋体"/>
          <w:b/>
          <w:bCs/>
          <w:szCs w:val="21"/>
          <w:lang w:val="en-US" w:eastAsia="zh-CN"/>
        </w:rPr>
        <w:t>9</w:t>
      </w:r>
      <w:r>
        <w:rPr>
          <w:rFonts w:hint="eastAsia" w:ascii="宋体" w:hAnsi="宋体" w:cs="宋体"/>
          <w:b/>
          <w:bCs/>
          <w:szCs w:val="21"/>
          <w:lang w:eastAsia="zh-CN"/>
        </w:rPr>
        <w:t>月</w:t>
      </w:r>
      <w:r>
        <w:rPr>
          <w:rFonts w:hint="eastAsia" w:ascii="宋体" w:hAnsi="宋体" w:cs="宋体"/>
          <w:b/>
          <w:bCs/>
          <w:szCs w:val="21"/>
          <w:lang w:val="en-US" w:eastAsia="zh-CN"/>
        </w:rPr>
        <w:t>23</w:t>
      </w:r>
      <w:r>
        <w:rPr>
          <w:rFonts w:hint="eastAsia" w:ascii="宋体" w:hAnsi="宋体" w:cs="宋体"/>
          <w:b/>
          <w:bCs/>
          <w:szCs w:val="21"/>
          <w:lang w:eastAsia="zh-CN"/>
        </w:rPr>
        <w:t>日</w:t>
      </w:r>
      <w:r>
        <w:rPr>
          <w:rFonts w:hint="eastAsia" w:ascii="宋体" w:hAnsi="宋体" w:cs="宋体"/>
          <w:b/>
          <w:bCs/>
          <w:kern w:val="0"/>
          <w:szCs w:val="21"/>
        </w:rPr>
        <w:t>至</w:t>
      </w:r>
      <w:r>
        <w:rPr>
          <w:rFonts w:hint="eastAsia" w:ascii="宋体" w:hAnsi="宋体" w:cs="宋体"/>
          <w:b/>
          <w:bCs/>
          <w:szCs w:val="21"/>
          <w:lang w:val="en-US" w:eastAsia="zh-CN"/>
        </w:rPr>
        <w:t>9</w:t>
      </w:r>
      <w:r>
        <w:rPr>
          <w:rFonts w:hint="eastAsia" w:ascii="宋体" w:hAnsi="宋体" w:cs="宋体"/>
          <w:b/>
          <w:bCs/>
          <w:szCs w:val="21"/>
          <w:lang w:eastAsia="zh-CN"/>
        </w:rPr>
        <w:t>月</w:t>
      </w:r>
      <w:r>
        <w:rPr>
          <w:rFonts w:hint="eastAsia" w:ascii="宋体" w:hAnsi="宋体" w:cs="宋体"/>
          <w:b/>
          <w:bCs/>
          <w:szCs w:val="21"/>
          <w:lang w:val="en-US" w:eastAsia="zh-CN"/>
        </w:rPr>
        <w:t>27</w:t>
      </w:r>
      <w:r>
        <w:rPr>
          <w:rFonts w:hint="eastAsia" w:ascii="宋体" w:hAnsi="宋体" w:cs="宋体"/>
          <w:b/>
          <w:bCs/>
          <w:szCs w:val="21"/>
          <w:lang w:eastAsia="zh-CN"/>
        </w:rPr>
        <w:t>日</w:t>
      </w:r>
      <w:r>
        <w:rPr>
          <w:rFonts w:hint="eastAsia" w:ascii="宋体" w:hAnsi="宋体" w:cs="宋体"/>
          <w:b/>
          <w:bCs/>
          <w:szCs w:val="21"/>
          <w:lang w:val="en-US" w:eastAsia="zh-CN"/>
        </w:rPr>
        <w:t xml:space="preserve"> </w:t>
      </w:r>
      <w:r>
        <w:rPr>
          <w:rFonts w:hint="eastAsia" w:ascii="宋体" w:hAnsi="宋体" w:cs="宋体"/>
          <w:b/>
          <w:bCs/>
          <w:kern w:val="0"/>
          <w:szCs w:val="21"/>
        </w:rPr>
        <w:t>，</w:t>
      </w:r>
      <w:r>
        <w:rPr>
          <w:rFonts w:hint="eastAsia" w:ascii="宋体" w:hAnsi="宋体" w:cs="宋体"/>
          <w:b/>
          <w:bCs/>
          <w:szCs w:val="21"/>
        </w:rPr>
        <w:t>每天上午8:30至11:30，下午1:30至5:30（北京时间，法定节假日除外）</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szCs w:val="21"/>
        </w:rPr>
        <w:t>2.地点：</w:t>
      </w:r>
      <w:r>
        <w:rPr>
          <w:rFonts w:hint="eastAsia" w:ascii="宋体" w:hAnsi="宋体" w:cs="宋体"/>
          <w:kern w:val="0"/>
          <w:szCs w:val="21"/>
        </w:rPr>
        <w:t>常州市城投建设工程招标有限公司（常州市新北区通江中路396号中创大厦4楼）</w:t>
      </w:r>
      <w:r>
        <w:rPr>
          <w:rFonts w:hint="eastAsia" w:ascii="宋体" w:hAnsi="宋体" w:cs="宋体"/>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3.方式：</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①线上领购：供应商应在常州市城投建设工程招标有限公司（www.czctzb.com）网站免费注册，在获取询价文件时间内缴纳询价文件费用，上传领购申请表（格式自拟）、电汇或网银凭证，经工作人员审核后下载本项目询价文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提醒：1.电汇或网银备注摘要中注明本项目采购编号，个人汇款注明单位简称；2.供应商应在上述获取询价文件时间内完成注册及领购询价文件事宜，否则系统关闭，无法再领购。</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②咨询电话：0519-81580101   0519-81580192-6002  </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Cs/>
          <w:szCs w:val="21"/>
        </w:rPr>
      </w:pPr>
      <w:r>
        <w:rPr>
          <w:rFonts w:hint="eastAsia" w:ascii="宋体" w:hAnsi="宋体" w:cs="宋体"/>
          <w:b/>
          <w:bCs/>
          <w:szCs w:val="21"/>
        </w:rPr>
        <w:t>4.售价：</w:t>
      </w:r>
      <w:r>
        <w:rPr>
          <w:rFonts w:hint="eastAsia" w:ascii="宋体" w:hAnsi="宋体" w:cs="宋体"/>
          <w:b/>
          <w:bCs/>
          <w:kern w:val="0"/>
          <w:szCs w:val="21"/>
        </w:rPr>
        <w:t>人民币</w:t>
      </w:r>
      <w:r>
        <w:rPr>
          <w:rFonts w:hint="eastAsia" w:ascii="宋体" w:hAnsi="宋体" w:cs="宋体"/>
          <w:b/>
          <w:bCs/>
          <w:kern w:val="0"/>
          <w:szCs w:val="21"/>
          <w:lang w:val="en-US" w:eastAsia="zh-CN"/>
        </w:rPr>
        <w:t>叁</w:t>
      </w:r>
      <w:r>
        <w:rPr>
          <w:rFonts w:hint="eastAsia" w:ascii="宋体" w:hAnsi="宋体" w:cs="宋体"/>
          <w:b/>
          <w:bCs/>
          <w:kern w:val="0"/>
          <w:szCs w:val="21"/>
        </w:rPr>
        <w:t>佰元整</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四、响应文件提交</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截止时间：</w:t>
      </w:r>
      <w:r>
        <w:rPr>
          <w:rFonts w:hint="eastAsia" w:ascii="宋体" w:hAnsi="宋体" w:cs="宋体"/>
          <w:b/>
          <w:bCs/>
          <w:szCs w:val="21"/>
          <w:lang w:eastAsia="zh-CN"/>
        </w:rPr>
        <w:t>2021年9月30日15：00</w:t>
      </w:r>
      <w:r>
        <w:rPr>
          <w:rFonts w:hint="eastAsia" w:ascii="宋体" w:hAnsi="宋体" w:cs="宋体"/>
          <w:b/>
        </w:rPr>
        <w:t>（北京时间）</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地点：常州市城投建设工程招标有限公司（常州市新北区通江中路396号中创大厦4楼）</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五、开启</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时间：</w:t>
      </w:r>
      <w:r>
        <w:rPr>
          <w:rFonts w:hint="eastAsia" w:ascii="宋体" w:hAnsi="宋体" w:cs="宋体"/>
          <w:b/>
          <w:bCs/>
          <w:szCs w:val="21"/>
          <w:lang w:eastAsia="zh-CN"/>
        </w:rPr>
        <w:t>2021年9月30日15：00</w:t>
      </w:r>
      <w:r>
        <w:rPr>
          <w:rFonts w:hint="eastAsia" w:ascii="宋体" w:hAnsi="宋体" w:cs="宋体"/>
          <w:b/>
        </w:rPr>
        <w:t>（北京时间）</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地点：常州市城投建设工程招标有限公司（常州市新北区通江中路396号中创大厦4楼）</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六、公告期限</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自本公告发布之日起3个工作日。</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七、其他补充事宜</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1.标前答疑</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邮箱：</w:t>
      </w:r>
      <w:r>
        <w:rPr>
          <w:rFonts w:hint="eastAsia" w:ascii="宋体" w:hAnsi="宋体" w:cs="宋体"/>
        </w:rPr>
        <w:t>czctzb@163.com</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2.常州市城投建设工程招标有限公司账户</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收款单位：常州市城投建设工程招标有限公司</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开户银行：江苏银行常州新北支行</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银行账号：82600188000245718</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kern w:val="0"/>
          <w:szCs w:val="21"/>
        </w:rPr>
        <w:t>3.</w:t>
      </w:r>
      <w:r>
        <w:rPr>
          <w:rFonts w:hint="eastAsia" w:ascii="宋体" w:hAnsi="宋体" w:cs="宋体"/>
          <w:b/>
          <w:bCs/>
          <w:szCs w:val="21"/>
        </w:rPr>
        <w:t>询价文件售后一概不退。供应商提交的询价响应文件概不退还。一经领购，供应商不得更改单位名称。</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kern w:val="0"/>
          <w:szCs w:val="21"/>
        </w:rPr>
      </w:pPr>
      <w:r>
        <w:rPr>
          <w:rFonts w:hint="eastAsia" w:ascii="宋体" w:hAnsi="宋体" w:cs="宋体"/>
          <w:b/>
          <w:bCs/>
          <w:szCs w:val="21"/>
        </w:rPr>
        <w:t>4.</w:t>
      </w:r>
      <w:r>
        <w:rPr>
          <w:rFonts w:hint="eastAsia" w:ascii="宋体" w:hAnsi="宋体" w:cs="宋体"/>
          <w:b/>
          <w:kern w:val="0"/>
          <w:szCs w:val="21"/>
        </w:rPr>
        <w:t>疫情防控措施</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kern w:val="0"/>
          <w:szCs w:val="21"/>
        </w:rPr>
      </w:pPr>
      <w:r>
        <w:rPr>
          <w:rFonts w:hint="eastAsia" w:ascii="宋体" w:hAnsi="宋体" w:cs="宋体"/>
          <w:kern w:val="0"/>
          <w:szCs w:val="21"/>
        </w:rPr>
        <w:t>疫情期间参与采购活动的当事人应严格按照疫情期间管理要求，服从佩戴口罩、测量体温、健康信息登记等各项疫情防控规定。进场后请保持安全距离，分散等候，不得扎堆聚集，事完即走。自觉服从引导人员的指挥和管理。对于参与磋商活动的供应商，应事先自行下载《疫情期间参与采购活动开评标人员健康信息登记表》（</w:t>
      </w:r>
      <w:r>
        <w:rPr>
          <w:rFonts w:hint="eastAsia" w:ascii="宋体" w:hAnsi="宋体" w:cs="宋体"/>
          <w:szCs w:val="21"/>
        </w:rPr>
        <w:t>下载链接：</w:t>
      </w:r>
      <w:r>
        <w:rPr>
          <w:rFonts w:hint="eastAsia" w:ascii="宋体" w:hAnsi="宋体" w:cs="宋体"/>
          <w:kern w:val="0"/>
          <w:szCs w:val="21"/>
        </w:rPr>
        <w:t>http://www.czctzb.com/sub_down32.html），并如实填写登记表相关内容并加盖单位公章。在进入公司时，请凭《疫情期间参与采购活动开评标人员健康信息登记表》和本人身份证原件至指定开评标场所。</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rPr>
      </w:pPr>
      <w:r>
        <w:rPr>
          <w:rFonts w:hint="eastAsia" w:ascii="宋体" w:hAnsi="宋体" w:cs="宋体"/>
          <w:b/>
        </w:rPr>
        <w:t>八、凡对本次采购提出询问，请按以下方式联系。</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1.采购人信息</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eastAsia="zh-CN"/>
        </w:rPr>
      </w:pPr>
      <w:r>
        <w:rPr>
          <w:rFonts w:hint="eastAsia" w:ascii="宋体" w:hAnsi="宋体" w:cs="宋体"/>
        </w:rPr>
        <w:t>名    称：</w:t>
      </w:r>
      <w:r>
        <w:rPr>
          <w:rFonts w:hint="eastAsia" w:asciiTheme="minorEastAsia" w:hAnsiTheme="minorEastAsia" w:eastAsiaTheme="minorEastAsia"/>
          <w:szCs w:val="21"/>
        </w:rPr>
        <w:t>常州市应急保障中心</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pacing w:val="2"/>
          <w:szCs w:val="21"/>
        </w:rPr>
      </w:pPr>
      <w:r>
        <w:rPr>
          <w:rFonts w:hint="eastAsia" w:ascii="宋体" w:hAnsi="宋体" w:cs="宋体"/>
        </w:rPr>
        <w:t>地    址：</w:t>
      </w:r>
      <w:r>
        <w:rPr>
          <w:rFonts w:hint="eastAsia" w:asciiTheme="minorEastAsia" w:hAnsiTheme="minorEastAsia" w:eastAsiaTheme="minorEastAsia"/>
          <w:szCs w:val="21"/>
        </w:rPr>
        <w:t>常州市钟楼区运河路188-1号</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s="宋体"/>
          <w:spacing w:val="2"/>
          <w:szCs w:val="21"/>
        </w:rPr>
      </w:pPr>
      <w:r>
        <w:rPr>
          <w:rFonts w:hint="eastAsia" w:ascii="宋体" w:hAnsi="宋体" w:cs="宋体"/>
        </w:rPr>
        <w:t>联系方式：</w:t>
      </w:r>
      <w:bookmarkStart w:id="0" w:name="_Hlk68104530"/>
      <w:r>
        <w:rPr>
          <w:rFonts w:hint="eastAsia" w:ascii="宋体" w:hAnsi="宋体" w:cs="宋体"/>
          <w:szCs w:val="21"/>
        </w:rPr>
        <w:t>谷寅初</w:t>
      </w:r>
      <w:r>
        <w:rPr>
          <w:rFonts w:hint="eastAsia" w:ascii="宋体" w:hAnsi="宋体" w:cs="宋体"/>
          <w:spacing w:val="2"/>
          <w:szCs w:val="21"/>
        </w:rPr>
        <w:t xml:space="preserve"> </w:t>
      </w:r>
      <w:bookmarkEnd w:id="0"/>
      <w:r>
        <w:rPr>
          <w:rFonts w:hint="eastAsia" w:ascii="宋体" w:hAnsi="宋体" w:cs="宋体"/>
          <w:szCs w:val="21"/>
        </w:rPr>
        <w:t>0519-83253822</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2.采购代理机构信息</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s="宋体"/>
        </w:rPr>
      </w:pPr>
      <w:r>
        <w:rPr>
          <w:rFonts w:hint="eastAsia" w:ascii="宋体" w:hAnsi="宋体" w:cs="宋体"/>
        </w:rPr>
        <w:t>名    称：常州市城投建设工程招标有限公司</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s="宋体"/>
          <w:kern w:val="0"/>
          <w:szCs w:val="21"/>
        </w:rPr>
      </w:pPr>
      <w:r>
        <w:rPr>
          <w:rFonts w:hint="eastAsia" w:ascii="宋体" w:hAnsi="宋体" w:cs="宋体"/>
        </w:rPr>
        <w:t>地　　址：</w:t>
      </w:r>
      <w:r>
        <w:rPr>
          <w:rFonts w:hint="eastAsia" w:ascii="宋体" w:hAnsi="宋体" w:cs="宋体"/>
          <w:kern w:val="0"/>
          <w:szCs w:val="21"/>
        </w:rPr>
        <w:t>常州市新北区通江中路396号中创大厦4楼</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s="宋体"/>
          <w:szCs w:val="21"/>
        </w:rPr>
      </w:pPr>
      <w:r>
        <w:rPr>
          <w:rFonts w:hint="eastAsia" w:ascii="宋体" w:hAnsi="宋体" w:cs="宋体"/>
        </w:rPr>
        <w:t>联系方式：</w:t>
      </w:r>
      <w:r>
        <w:rPr>
          <w:rFonts w:hint="eastAsia" w:ascii="宋体" w:hAnsi="宋体" w:cs="宋体"/>
          <w:szCs w:val="21"/>
        </w:rPr>
        <w:t>0519-81580101</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3.项目联系方式</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项目联系人：袁  婷</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电　　  话：</w:t>
      </w:r>
      <w:r>
        <w:rPr>
          <w:rFonts w:hint="eastAsia" w:ascii="宋体" w:hAnsi="宋体" w:cs="宋体"/>
          <w:szCs w:val="21"/>
        </w:rPr>
        <w:t>0519-81580152  81580191  81580192（转分机号6013）</w:t>
      </w:r>
      <w:r>
        <w:rPr>
          <w:rFonts w:hint="eastAsia" w:ascii="宋体" w:hAnsi="宋体" w:cs="宋体"/>
        </w:rPr>
        <w:t>　</w:t>
      </w:r>
    </w:p>
    <w:p>
      <w:pPr>
        <w:rPr>
          <w:rFonts w:ascii="宋体" w:hAnsi="宋体" w:cs="宋体"/>
        </w:rPr>
      </w:pPr>
    </w:p>
    <w:p>
      <w:pPr>
        <w:rPr>
          <w:rFonts w:ascii="宋体" w:hAnsi="宋体" w:cs="宋体"/>
          <w:b/>
          <w:bCs/>
        </w:rPr>
      </w:pPr>
      <w:r>
        <w:rPr>
          <w:rFonts w:hint="eastAsia" w:ascii="宋体" w:hAnsi="宋体" w:cs="宋体"/>
          <w:b/>
          <w:bCs/>
        </w:rPr>
        <w:br w:type="page"/>
      </w:r>
    </w:p>
    <w:p>
      <w:pPr>
        <w:pStyle w:val="11"/>
        <w:adjustRightInd w:val="0"/>
        <w:snapToGrid w:val="0"/>
        <w:spacing w:line="360" w:lineRule="auto"/>
        <w:jc w:val="center"/>
        <w:rPr>
          <w:rFonts w:eastAsia="宋体" w:cs="宋体"/>
          <w:b/>
          <w:bCs/>
          <w:sz w:val="32"/>
          <w:szCs w:val="32"/>
        </w:rPr>
      </w:pPr>
      <w:r>
        <w:rPr>
          <w:rFonts w:hint="eastAsia" w:eastAsia="宋体" w:cs="宋体"/>
          <w:b/>
          <w:bCs/>
          <w:sz w:val="32"/>
          <w:szCs w:val="32"/>
        </w:rPr>
        <w:t>询价通知书</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szCs w:val="21"/>
        </w:rPr>
      </w:pPr>
      <w:r>
        <w:rPr>
          <w:rFonts w:hint="eastAsia" w:ascii="宋体" w:hAnsi="宋体" w:cs="宋体"/>
          <w:szCs w:val="21"/>
        </w:rPr>
        <w:t>常州市城投建设工程招标有限公司受</w:t>
      </w:r>
      <w:r>
        <w:rPr>
          <w:rFonts w:hint="eastAsia" w:ascii="宋体" w:hAnsi="宋体" w:cs="宋体"/>
          <w:b/>
          <w:bCs/>
          <w:szCs w:val="21"/>
          <w:lang w:eastAsia="zh-CN"/>
        </w:rPr>
        <w:t>常州市应急保障中心</w:t>
      </w:r>
      <w:r>
        <w:rPr>
          <w:rFonts w:hint="eastAsia" w:ascii="宋体" w:hAnsi="宋体" w:cs="宋体"/>
          <w:szCs w:val="21"/>
        </w:rPr>
        <w:t>的委托</w:t>
      </w:r>
      <w:r>
        <w:rPr>
          <w:rFonts w:hint="eastAsia" w:ascii="宋体" w:hAnsi="宋体" w:cs="宋体"/>
          <w:color w:val="000000"/>
          <w:szCs w:val="21"/>
        </w:rPr>
        <w:t>，现就其</w:t>
      </w:r>
      <w:r>
        <w:rPr>
          <w:rFonts w:hint="eastAsia" w:ascii="宋体" w:hAnsi="宋体" w:cs="宋体"/>
          <w:b/>
          <w:szCs w:val="21"/>
          <w:lang w:eastAsia="zh-CN"/>
        </w:rPr>
        <w:t>防火墙设备采购及安装项目</w:t>
      </w:r>
      <w:r>
        <w:rPr>
          <w:rFonts w:hint="eastAsia" w:ascii="宋体" w:hAnsi="宋体" w:cs="宋体"/>
          <w:color w:val="000000"/>
          <w:szCs w:val="21"/>
        </w:rPr>
        <w:t>进行</w:t>
      </w:r>
      <w:r>
        <w:rPr>
          <w:rFonts w:hint="eastAsia" w:ascii="宋体" w:hAnsi="宋体" w:cs="宋体"/>
          <w:szCs w:val="21"/>
        </w:rPr>
        <w:t>询价</w:t>
      </w:r>
      <w:r>
        <w:rPr>
          <w:rFonts w:hint="eastAsia" w:ascii="宋体" w:hAnsi="宋体" w:cs="宋体"/>
          <w:color w:val="000000"/>
          <w:szCs w:val="21"/>
        </w:rPr>
        <w:t>采购，</w:t>
      </w:r>
      <w:r>
        <w:rPr>
          <w:rFonts w:hint="eastAsia" w:ascii="宋体" w:hAnsi="宋体" w:cs="宋体"/>
          <w:szCs w:val="21"/>
        </w:rPr>
        <w:t>特邀请符合条件的供应商参加。</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bCs/>
          <w:kern w:val="0"/>
          <w:szCs w:val="21"/>
        </w:rPr>
      </w:pPr>
      <w:r>
        <w:rPr>
          <w:rFonts w:hint="eastAsia" w:ascii="宋体" w:hAnsi="宋体" w:cs="宋体"/>
          <w:b/>
          <w:bCs/>
          <w:kern w:val="0"/>
          <w:szCs w:val="21"/>
        </w:rPr>
        <w:t>一、项目内容</w:t>
      </w:r>
    </w:p>
    <w:p>
      <w:pPr>
        <w:keepNext w:val="0"/>
        <w:keepLines w:val="0"/>
        <w:pageBreakBefore w:val="0"/>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eastAsia="宋体" w:cs="宋体"/>
          <w:szCs w:val="21"/>
          <w:lang w:eastAsia="zh-CN"/>
        </w:rPr>
      </w:pPr>
      <w:r>
        <w:rPr>
          <w:rFonts w:hint="eastAsia" w:ascii="宋体" w:hAnsi="宋体" w:cs="宋体"/>
          <w:b/>
          <w:bCs/>
          <w:szCs w:val="21"/>
        </w:rPr>
        <w:t>项目名称：</w:t>
      </w:r>
      <w:r>
        <w:rPr>
          <w:rFonts w:hint="eastAsia" w:ascii="宋体" w:hAnsi="宋体" w:cs="宋体"/>
          <w:bCs/>
          <w:szCs w:val="21"/>
          <w:lang w:eastAsia="zh-CN"/>
        </w:rPr>
        <w:t>常州市应急保障中心防火墙设备采购及安装项目</w:t>
      </w:r>
    </w:p>
    <w:p>
      <w:pPr>
        <w:keepNext w:val="0"/>
        <w:keepLines w:val="0"/>
        <w:pageBreakBefore w:val="0"/>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eastAsia="宋体" w:cs="宋体"/>
          <w:bCs/>
          <w:szCs w:val="21"/>
          <w:lang w:eastAsia="zh-CN"/>
        </w:rPr>
      </w:pPr>
      <w:r>
        <w:rPr>
          <w:rFonts w:hint="eastAsia" w:ascii="宋体" w:hAnsi="宋体" w:cs="宋体"/>
          <w:b/>
          <w:bCs/>
          <w:szCs w:val="21"/>
        </w:rPr>
        <w:t>项目编号：</w:t>
      </w:r>
      <w:r>
        <w:rPr>
          <w:rFonts w:hint="eastAsia" w:ascii="宋体" w:hAnsi="宋体" w:cs="宋体"/>
          <w:bCs/>
          <w:szCs w:val="21"/>
          <w:lang w:eastAsia="zh-CN"/>
        </w:rPr>
        <w:t>CT-SX-2021</w:t>
      </w:r>
    </w:p>
    <w:p>
      <w:pPr>
        <w:keepNext w:val="0"/>
        <w:keepLines w:val="0"/>
        <w:pageBreakBefore w:val="0"/>
        <w:kinsoku/>
        <w:wordWrap/>
        <w:overflowPunct/>
        <w:topLinePunct w:val="0"/>
        <w:autoSpaceDE/>
        <w:autoSpaceDN/>
        <w:bidi w:val="0"/>
        <w:adjustRightInd w:val="0"/>
        <w:snapToGrid w:val="0"/>
        <w:spacing w:line="360" w:lineRule="exact"/>
        <w:ind w:firstLine="430" w:firstLineChars="200"/>
        <w:textAlignment w:val="auto"/>
        <w:rPr>
          <w:rFonts w:ascii="宋体" w:hAnsi="宋体" w:cs="宋体"/>
          <w:b/>
          <w:bCs/>
          <w:color w:val="000000"/>
          <w:szCs w:val="21"/>
        </w:rPr>
      </w:pPr>
      <w:r>
        <w:rPr>
          <w:rFonts w:hint="eastAsia" w:ascii="宋体" w:hAnsi="宋体" w:cs="宋体"/>
          <w:b/>
          <w:spacing w:val="2"/>
          <w:szCs w:val="21"/>
        </w:rPr>
        <w:t>项目预算及最高限价：</w:t>
      </w:r>
      <w:r>
        <w:rPr>
          <w:rFonts w:hint="eastAsia" w:ascii="宋体" w:hAnsi="宋体" w:cs="宋体"/>
          <w:b/>
          <w:color w:val="auto"/>
          <w:spacing w:val="2"/>
          <w:szCs w:val="21"/>
        </w:rPr>
        <w:t>人民币</w:t>
      </w:r>
      <w:r>
        <w:rPr>
          <w:rFonts w:hint="eastAsia" w:ascii="宋体" w:hAnsi="宋体" w:cs="宋体"/>
          <w:b/>
          <w:color w:val="auto"/>
          <w:spacing w:val="2"/>
          <w:szCs w:val="21"/>
          <w:lang w:val="en-US" w:eastAsia="zh-CN"/>
        </w:rPr>
        <w:t>35000</w:t>
      </w:r>
      <w:bookmarkStart w:id="2" w:name="_GoBack"/>
      <w:bookmarkEnd w:id="2"/>
      <w:r>
        <w:rPr>
          <w:rFonts w:hint="eastAsia" w:ascii="宋体" w:hAnsi="宋体" w:cs="宋体"/>
          <w:b/>
          <w:color w:val="auto"/>
          <w:spacing w:val="2"/>
          <w:szCs w:val="21"/>
        </w:rPr>
        <w:t>元</w:t>
      </w:r>
    </w:p>
    <w:p>
      <w:pPr>
        <w:keepNext w:val="0"/>
        <w:keepLines w:val="0"/>
        <w:pageBreakBefore w:val="0"/>
        <w:kinsoku/>
        <w:wordWrap/>
        <w:overflowPunct/>
        <w:topLinePunct w:val="0"/>
        <w:autoSpaceDE/>
        <w:autoSpaceDN/>
        <w:bidi w:val="0"/>
        <w:adjustRightInd w:val="0"/>
        <w:snapToGrid w:val="0"/>
        <w:spacing w:line="360" w:lineRule="exact"/>
        <w:ind w:firstLine="430" w:firstLineChars="200"/>
        <w:textAlignment w:val="auto"/>
        <w:rPr>
          <w:rFonts w:ascii="宋体" w:hAnsi="宋体" w:cs="宋体"/>
          <w:color w:val="000000"/>
          <w:szCs w:val="21"/>
        </w:rPr>
      </w:pPr>
      <w:r>
        <w:rPr>
          <w:rFonts w:hint="eastAsia" w:ascii="宋体" w:hAnsi="宋体" w:cs="宋体"/>
          <w:b/>
          <w:spacing w:val="2"/>
          <w:szCs w:val="21"/>
        </w:rPr>
        <w:t>项目简要说明</w:t>
      </w:r>
      <w:r>
        <w:rPr>
          <w:rFonts w:hint="eastAsia" w:ascii="宋体" w:hAnsi="宋体" w:cs="宋体"/>
          <w:szCs w:val="21"/>
        </w:rPr>
        <w:t>：本项目是</w:t>
      </w:r>
      <w:r>
        <w:rPr>
          <w:rFonts w:hint="eastAsia" w:ascii="宋体" w:hAnsi="宋体" w:cs="宋体"/>
          <w:bCs/>
          <w:szCs w:val="21"/>
          <w:lang w:eastAsia="zh-CN"/>
        </w:rPr>
        <w:t>常州市应急保障中心防火墙设备采购及安装项目</w:t>
      </w:r>
      <w:r>
        <w:rPr>
          <w:rFonts w:hint="eastAsia" w:ascii="宋体" w:hAnsi="宋体" w:cs="宋体"/>
          <w:szCs w:val="21"/>
        </w:rPr>
        <w:t>，具体内容包括：</w:t>
      </w:r>
      <w:r>
        <w:rPr>
          <w:rFonts w:hint="eastAsia" w:ascii="宋体" w:hAnsi="宋体" w:cs="宋体"/>
          <w:bCs/>
          <w:szCs w:val="21"/>
        </w:rPr>
        <w:t>货物的制造（采购）、运输、装卸、安装、调试、测试、售后服务、技术培训等，直至通过验收以及质量保修、免费维保等全部工作。</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bCs/>
          <w:kern w:val="0"/>
          <w:szCs w:val="21"/>
        </w:rPr>
      </w:pPr>
      <w:r>
        <w:rPr>
          <w:rFonts w:hint="eastAsia" w:ascii="宋体" w:hAnsi="宋体" w:cs="宋体"/>
          <w:b/>
          <w:bCs/>
          <w:kern w:val="0"/>
          <w:szCs w:val="21"/>
        </w:rPr>
        <w:t>二、</w:t>
      </w:r>
      <w:r>
        <w:rPr>
          <w:rFonts w:hint="eastAsia" w:ascii="宋体" w:hAnsi="宋体" w:cs="宋体"/>
          <w:b/>
          <w:bCs/>
          <w:szCs w:val="21"/>
        </w:rPr>
        <w:t>供应商资格要求</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详见询价公告。</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bCs/>
          <w:kern w:val="0"/>
          <w:szCs w:val="21"/>
        </w:rPr>
      </w:pPr>
      <w:r>
        <w:rPr>
          <w:rFonts w:hint="eastAsia" w:ascii="宋体" w:hAnsi="宋体" w:cs="宋体"/>
          <w:b/>
          <w:bCs/>
          <w:kern w:val="0"/>
          <w:szCs w:val="21"/>
        </w:rPr>
        <w:t>三、采购内容及要求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szCs w:val="21"/>
        </w:rPr>
      </w:pPr>
      <w:r>
        <w:rPr>
          <w:rFonts w:hint="eastAsia" w:ascii="宋体" w:hAnsi="宋体" w:cs="宋体"/>
          <w:b/>
          <w:bCs/>
          <w:szCs w:val="21"/>
        </w:rPr>
        <w:t>（一）采购清单</w:t>
      </w:r>
    </w:p>
    <w:tbl>
      <w:tblPr>
        <w:tblStyle w:val="20"/>
        <w:tblW w:w="5000" w:type="pct"/>
        <w:jc w:val="center"/>
        <w:shd w:val="clear" w:color="auto" w:fill="FFFFFF" w:themeFill="background1"/>
        <w:tblLayout w:type="fixed"/>
        <w:tblCellMar>
          <w:top w:w="0" w:type="dxa"/>
          <w:left w:w="108" w:type="dxa"/>
          <w:bottom w:w="0" w:type="dxa"/>
          <w:right w:w="108" w:type="dxa"/>
        </w:tblCellMar>
      </w:tblPr>
      <w:tblGrid>
        <w:gridCol w:w="714"/>
        <w:gridCol w:w="7809"/>
      </w:tblGrid>
      <w:tr>
        <w:tblPrEx>
          <w:shd w:val="clear" w:color="auto" w:fill="FFFFFF" w:themeFill="background1"/>
          <w:tblCellMar>
            <w:top w:w="0" w:type="dxa"/>
            <w:left w:w="108" w:type="dxa"/>
            <w:bottom w:w="0" w:type="dxa"/>
            <w:right w:w="108" w:type="dxa"/>
          </w:tblCellMar>
        </w:tblPrEx>
        <w:trPr>
          <w:trHeight w:val="448"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技术指标</w:t>
            </w:r>
          </w:p>
        </w:tc>
        <w:tc>
          <w:tcPr>
            <w:tcW w:w="45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指标要求</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硬件参数</w:t>
            </w:r>
          </w:p>
        </w:tc>
        <w:tc>
          <w:tcPr>
            <w:tcW w:w="45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86"/>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kern w:val="2"/>
                <w:sz w:val="21"/>
                <w:szCs w:val="21"/>
                <w:u w:color="000000"/>
                <w:lang w:val="en-US" w:eastAsia="zh-CN" w:bidi="ar-SA"/>
              </w:rPr>
            </w:pPr>
            <w:r>
              <w:rPr>
                <w:rFonts w:hint="eastAsia" w:ascii="宋体" w:hAnsi="宋体" w:eastAsia="宋体" w:cs="宋体"/>
                <w:color w:val="auto"/>
                <w:kern w:val="0"/>
                <w:sz w:val="21"/>
                <w:szCs w:val="21"/>
              </w:rPr>
              <w:t>★</w:t>
            </w:r>
            <w:r>
              <w:rPr>
                <w:rFonts w:hint="eastAsia" w:ascii="宋体" w:hAnsi="宋体" w:eastAsia="宋体" w:cs="宋体"/>
                <w:color w:val="000000"/>
                <w:kern w:val="0"/>
                <w:sz w:val="21"/>
                <w:szCs w:val="21"/>
                <w:lang w:val="en-US" w:eastAsia="zh-CN"/>
              </w:rPr>
              <w:t>本项目要求配备1台服务器，</w:t>
            </w:r>
            <w:r>
              <w:rPr>
                <w:rFonts w:hint="eastAsia" w:ascii="宋体" w:hAnsi="宋体" w:eastAsia="宋体" w:cs="宋体"/>
                <w:color w:val="auto"/>
                <w:kern w:val="0"/>
                <w:sz w:val="21"/>
                <w:szCs w:val="21"/>
              </w:rPr>
              <w:t>网络层吞吐量≥</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Gbps，应用层吞吐量≥</w:t>
            </w:r>
            <w:r>
              <w:rPr>
                <w:rFonts w:hint="eastAsia" w:ascii="宋体" w:hAnsi="宋体" w:eastAsia="宋体" w:cs="宋体"/>
                <w:color w:val="auto"/>
                <w:kern w:val="0"/>
                <w:sz w:val="21"/>
                <w:szCs w:val="21"/>
                <w:lang w:val="en-US" w:eastAsia="zh-CN"/>
              </w:rPr>
              <w:t>600M</w:t>
            </w:r>
            <w:r>
              <w:rPr>
                <w:rFonts w:hint="eastAsia" w:ascii="宋体" w:hAnsi="宋体" w:eastAsia="宋体" w:cs="宋体"/>
                <w:color w:val="auto"/>
                <w:kern w:val="0"/>
                <w:sz w:val="21"/>
                <w:szCs w:val="21"/>
              </w:rPr>
              <w:t>，并发连接数≥</w:t>
            </w:r>
            <w:r>
              <w:rPr>
                <w:rFonts w:hint="eastAsia" w:ascii="宋体" w:hAnsi="宋体" w:eastAsia="宋体" w:cs="宋体"/>
                <w:color w:val="auto"/>
                <w:kern w:val="0"/>
                <w:sz w:val="21"/>
                <w:szCs w:val="21"/>
                <w:lang w:val="en-US" w:eastAsia="zh-CN"/>
              </w:rPr>
              <w:t>80</w:t>
            </w:r>
            <w:r>
              <w:rPr>
                <w:rFonts w:hint="eastAsia" w:ascii="宋体" w:hAnsi="宋体" w:eastAsia="宋体" w:cs="宋体"/>
                <w:color w:val="auto"/>
                <w:kern w:val="0"/>
                <w:sz w:val="21"/>
                <w:szCs w:val="21"/>
              </w:rPr>
              <w:t>万，HTTP新建连接数≥</w:t>
            </w:r>
            <w:r>
              <w:rPr>
                <w:rFonts w:hint="eastAsia" w:ascii="宋体" w:hAnsi="宋体" w:eastAsia="宋体" w:cs="宋体"/>
                <w:color w:val="auto"/>
                <w:kern w:val="0"/>
                <w:sz w:val="21"/>
                <w:szCs w:val="21"/>
                <w:lang w:val="en-US" w:eastAsia="zh-CN"/>
              </w:rPr>
              <w:t>1.8</w:t>
            </w:r>
            <w:r>
              <w:rPr>
                <w:rFonts w:hint="eastAsia" w:ascii="宋体" w:hAnsi="宋体" w:eastAsia="宋体" w:cs="宋体"/>
                <w:color w:val="auto"/>
                <w:kern w:val="0"/>
                <w:sz w:val="21"/>
                <w:szCs w:val="21"/>
              </w:rPr>
              <w:t>万，IPSec最大隧道数≥</w:t>
            </w:r>
            <w:r>
              <w:rPr>
                <w:rFonts w:hint="eastAsia" w:ascii="宋体" w:hAnsi="宋体" w:eastAsia="宋体" w:cs="宋体"/>
                <w:color w:val="auto"/>
                <w:kern w:val="0"/>
                <w:sz w:val="21"/>
                <w:szCs w:val="21"/>
                <w:lang w:val="en-US" w:eastAsia="zh-CN"/>
              </w:rPr>
              <w:t>1000,</w:t>
            </w:r>
            <w:r>
              <w:rPr>
                <w:rFonts w:hint="eastAsia" w:ascii="宋体" w:hAnsi="宋体" w:eastAsia="宋体" w:cs="宋体"/>
                <w:color w:val="auto"/>
                <w:kern w:val="0"/>
                <w:sz w:val="21"/>
                <w:szCs w:val="21"/>
              </w:rPr>
              <w:t>产品不少于</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个千兆电口，硬盘容量≥</w:t>
            </w:r>
            <w:r>
              <w:rPr>
                <w:rFonts w:hint="eastAsia" w:ascii="宋体" w:hAnsi="宋体" w:eastAsia="宋体" w:cs="宋体"/>
                <w:color w:val="auto"/>
                <w:kern w:val="0"/>
                <w:sz w:val="21"/>
                <w:szCs w:val="21"/>
                <w:lang w:val="en-US" w:eastAsia="zh-CN"/>
              </w:rPr>
              <w:t>64</w:t>
            </w:r>
            <w:r>
              <w:rPr>
                <w:rFonts w:hint="eastAsia" w:ascii="宋体" w:hAnsi="宋体" w:eastAsia="宋体" w:cs="宋体"/>
                <w:color w:val="auto"/>
                <w:kern w:val="0"/>
                <w:sz w:val="21"/>
                <w:szCs w:val="21"/>
              </w:rPr>
              <w:t>G minisata SSD，内存容量≥</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GB；硬件为标准1U架构，配备单电源</w:t>
            </w:r>
            <w:r>
              <w:rPr>
                <w:rFonts w:hint="eastAsia" w:ascii="宋体" w:hAnsi="宋体" w:eastAsia="宋体" w:cs="宋体"/>
                <w:color w:val="auto"/>
                <w:kern w:val="0"/>
                <w:sz w:val="21"/>
                <w:szCs w:val="21"/>
                <w:lang w:val="en-US" w:eastAsia="zh-CN"/>
              </w:rPr>
              <w:t>;</w:t>
            </w:r>
            <w:r>
              <w:rPr>
                <w:rFonts w:hint="eastAsia" w:ascii="宋体" w:hAnsi="宋体" w:eastAsia="宋体" w:cs="宋体"/>
                <w:color w:val="000000"/>
                <w:kern w:val="0"/>
                <w:sz w:val="21"/>
                <w:szCs w:val="21"/>
                <w:lang w:val="en-US" w:eastAsia="zh-CN"/>
              </w:rPr>
              <w:t>软件升级、产品质保不得少于三年;</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sz w:val="21"/>
                <w:szCs w:val="21"/>
                <w:lang w:val="en-US" w:eastAsia="zh-CN"/>
              </w:rPr>
              <w:t>功能参数</w:t>
            </w: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pStyle w:val="86"/>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kern w:val="2"/>
                <w:sz w:val="21"/>
                <w:szCs w:val="21"/>
                <w:u w:color="000000"/>
                <w:lang w:val="en-US" w:eastAsia="zh-CN" w:bidi="ar-SA"/>
              </w:rPr>
            </w:pPr>
            <w:r>
              <w:rPr>
                <w:rFonts w:hint="eastAsia" w:ascii="宋体" w:hAnsi="宋体" w:eastAsia="宋体" w:cs="宋体"/>
                <w:b w:val="0"/>
                <w:bCs w:val="0"/>
                <w:kern w:val="0"/>
                <w:sz w:val="21"/>
                <w:szCs w:val="21"/>
              </w:rPr>
              <w:t>★</w:t>
            </w:r>
            <w:r>
              <w:rPr>
                <w:rFonts w:hint="eastAsia" w:ascii="宋体" w:hAnsi="宋体" w:eastAsia="宋体" w:cs="宋体"/>
                <w:color w:val="auto"/>
                <w:kern w:val="0"/>
                <w:sz w:val="21"/>
                <w:szCs w:val="21"/>
              </w:rPr>
              <w:t>支持基于IP地址、端口、地域、协议、应用等维度配置策略路由策略，</w:t>
            </w:r>
            <w:r>
              <w:rPr>
                <w:rFonts w:hint="eastAsia" w:ascii="宋体" w:hAnsi="宋体" w:eastAsia="宋体" w:cs="宋体"/>
                <w:bCs/>
                <w:color w:val="auto"/>
                <w:kern w:val="0"/>
                <w:sz w:val="21"/>
                <w:szCs w:val="21"/>
              </w:rPr>
              <w:t>支持多种负载均衡算法，包括加权、带宽比例、轮询、线路排序等。</w:t>
            </w:r>
            <w:r>
              <w:rPr>
                <w:rFonts w:hint="eastAsia" w:ascii="宋体" w:hAnsi="宋体" w:eastAsia="宋体" w:cs="宋体"/>
                <w:b w:val="0"/>
                <w:bCs w:val="0"/>
                <w:color w:val="auto"/>
                <w:sz w:val="21"/>
                <w:szCs w:val="21"/>
                <w:lang w:eastAsia="zh-CN" w:bidi="ar"/>
              </w:rPr>
              <w:t>（需提供产品功能截图证明并加盖厂商公章）</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pStyle w:val="86"/>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kern w:val="2"/>
                <w:sz w:val="21"/>
                <w:szCs w:val="21"/>
                <w:u w:color="000000"/>
                <w:lang w:val="en-US" w:eastAsia="zh-CN" w:bidi="ar-SA"/>
              </w:rPr>
            </w:pPr>
            <w:r>
              <w:rPr>
                <w:rFonts w:hint="eastAsia" w:ascii="宋体" w:hAnsi="宋体" w:eastAsia="宋体" w:cs="宋体"/>
                <w:color w:val="auto"/>
                <w:kern w:val="0"/>
                <w:sz w:val="21"/>
                <w:szCs w:val="21"/>
              </w:rPr>
              <w:t>具备DNS透明代理功能，避免单运营商DNS解析出现单一链路流量过载，平衡多条运营商线路的带宽利用率</w:t>
            </w:r>
            <w:r>
              <w:rPr>
                <w:rFonts w:hint="eastAsia" w:ascii="宋体" w:hAnsi="宋体" w:eastAsia="宋体" w:cs="宋体"/>
                <w:color w:val="auto"/>
                <w:kern w:val="0"/>
                <w:sz w:val="21"/>
                <w:szCs w:val="21"/>
                <w:lang w:eastAsia="zh-CN"/>
              </w:rPr>
              <w:t>。</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pStyle w:val="86"/>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kern w:val="2"/>
                <w:sz w:val="21"/>
                <w:szCs w:val="21"/>
                <w:u w:color="000000"/>
                <w:lang w:val="en-US" w:eastAsia="zh-CN" w:bidi="ar-SA"/>
              </w:rPr>
            </w:pPr>
            <w:r>
              <w:rPr>
                <w:rFonts w:hint="eastAsia" w:ascii="宋体" w:hAnsi="宋体" w:eastAsia="宋体" w:cs="宋体"/>
                <w:b w:val="0"/>
                <w:bCs w:val="0"/>
                <w:kern w:val="0"/>
                <w:sz w:val="21"/>
                <w:szCs w:val="21"/>
              </w:rPr>
              <w:t>★</w:t>
            </w:r>
            <w:r>
              <w:rPr>
                <w:rFonts w:hint="eastAsia" w:ascii="宋体" w:hAnsi="宋体" w:eastAsia="宋体" w:cs="宋体"/>
                <w:bCs/>
                <w:color w:val="auto"/>
                <w:kern w:val="0"/>
                <w:sz w:val="21"/>
                <w:szCs w:val="21"/>
              </w:rPr>
              <w:t>IPSec VPN支持智能选路功能，保障业务的高可靠性。</w:t>
            </w:r>
            <w:r>
              <w:rPr>
                <w:rFonts w:hint="eastAsia" w:ascii="宋体" w:hAnsi="宋体" w:eastAsia="宋体" w:cs="宋体"/>
                <w:b w:val="0"/>
                <w:bCs w:val="0"/>
                <w:color w:val="auto"/>
                <w:sz w:val="21"/>
                <w:szCs w:val="21"/>
                <w:lang w:eastAsia="zh-CN" w:bidi="ar"/>
              </w:rPr>
              <w:t>（需提供产品功能截图证明并加盖厂商公章）</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pStyle w:val="86"/>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color w:val="000000"/>
                <w:sz w:val="21"/>
                <w:szCs w:val="21"/>
                <w:lang w:val="en-US" w:eastAsia="zh-CN" w:bidi="ar"/>
              </w:rPr>
              <w:t>支持</w:t>
            </w:r>
            <w:r>
              <w:rPr>
                <w:rFonts w:hint="eastAsia" w:ascii="宋体" w:hAnsi="宋体" w:eastAsia="宋体" w:cs="宋体"/>
                <w:b w:val="0"/>
                <w:bCs w:val="0"/>
                <w:color w:val="000000"/>
                <w:sz w:val="21"/>
                <w:szCs w:val="21"/>
                <w:lang w:eastAsia="zh-CN" w:bidi="ar"/>
              </w:rPr>
              <w:t>用户指定应用上网流速超过预设阈值后，网关自动提醒该用户。</w:t>
            </w:r>
            <w:r>
              <w:rPr>
                <w:rFonts w:hint="eastAsia" w:ascii="宋体" w:hAnsi="宋体" w:eastAsia="宋体" w:cs="宋体"/>
                <w:b w:val="0"/>
                <w:bCs w:val="0"/>
                <w:color w:val="auto"/>
                <w:sz w:val="21"/>
                <w:szCs w:val="21"/>
                <w:lang w:eastAsia="zh-CN" w:bidi="ar"/>
              </w:rPr>
              <w:t>（需提供产品功能截图证明并加盖厂商公章）</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sz w:val="21"/>
                <w:szCs w:val="21"/>
                <w:lang w:eastAsia="zh-CN" w:bidi="ar"/>
              </w:rPr>
            </w:pPr>
            <w:r>
              <w:rPr>
                <w:rFonts w:hint="eastAsia" w:ascii="宋体" w:hAnsi="宋体" w:eastAsia="宋体" w:cs="宋体"/>
                <w:b w:val="0"/>
                <w:bCs w:val="0"/>
                <w:kern w:val="0"/>
                <w:sz w:val="21"/>
                <w:szCs w:val="21"/>
              </w:rPr>
              <w:t>★</w:t>
            </w:r>
            <w:r>
              <w:rPr>
                <w:rFonts w:hint="eastAsia" w:ascii="宋体" w:hAnsi="宋体" w:eastAsia="宋体" w:cs="宋体"/>
                <w:bCs/>
                <w:color w:val="auto"/>
                <w:kern w:val="0"/>
                <w:sz w:val="21"/>
                <w:szCs w:val="21"/>
              </w:rPr>
              <w:t>产品内置IPS检测引擎，支持口令暴力破解、僵尸网络、恶意软件、服务器与终端漏洞攻击等检测和防护，支持超过7</w:t>
            </w:r>
            <w:r>
              <w:rPr>
                <w:rFonts w:hint="eastAsia" w:ascii="宋体" w:hAnsi="宋体" w:eastAsia="宋体" w:cs="宋体"/>
                <w:color w:val="auto"/>
                <w:sz w:val="21"/>
                <w:szCs w:val="21"/>
              </w:rPr>
              <w:t>000种</w:t>
            </w:r>
            <w:r>
              <w:rPr>
                <w:rFonts w:hint="eastAsia" w:ascii="宋体" w:hAnsi="宋体" w:eastAsia="宋体" w:cs="宋体"/>
                <w:bCs/>
                <w:color w:val="auto"/>
                <w:kern w:val="0"/>
                <w:sz w:val="21"/>
                <w:szCs w:val="21"/>
              </w:rPr>
              <w:t>特征规则。</w:t>
            </w:r>
            <w:r>
              <w:rPr>
                <w:rFonts w:hint="eastAsia" w:ascii="宋体" w:hAnsi="宋体" w:eastAsia="宋体" w:cs="宋体"/>
                <w:b w:val="0"/>
                <w:bCs w:val="0"/>
                <w:color w:val="auto"/>
                <w:sz w:val="21"/>
                <w:szCs w:val="21"/>
                <w:lang w:eastAsia="zh-CN" w:bidi="ar"/>
              </w:rPr>
              <w:t>（需提供产品功能截图证明并加盖厂商公章）</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kern w:val="0"/>
                <w:sz w:val="21"/>
                <w:szCs w:val="21"/>
              </w:rPr>
              <w:t>★</w:t>
            </w:r>
            <w:r>
              <w:rPr>
                <w:rFonts w:hint="eastAsia" w:ascii="宋体" w:hAnsi="宋体" w:eastAsia="宋体" w:cs="宋体"/>
                <w:color w:val="auto"/>
                <w:kern w:val="0"/>
                <w:sz w:val="21"/>
                <w:szCs w:val="21"/>
              </w:rPr>
              <w:t>产品内置应用特征识别库，支持不少于10000种应用规则，支持对游戏、P2P下载工具、聊天工具、网上银行、视频软件、股票软件、木马控制软件等类型应用进行检测与控制。</w:t>
            </w:r>
            <w:r>
              <w:rPr>
                <w:rFonts w:hint="eastAsia" w:ascii="宋体" w:hAnsi="宋体" w:eastAsia="宋体" w:cs="宋体"/>
                <w:b w:val="0"/>
                <w:bCs w:val="0"/>
                <w:color w:val="auto"/>
                <w:sz w:val="21"/>
                <w:szCs w:val="21"/>
                <w:lang w:eastAsia="zh-CN" w:bidi="ar"/>
              </w:rPr>
              <w:t>（需提供产品功能截图证明并加盖厂商公章）</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kern w:val="0"/>
                <w:sz w:val="21"/>
                <w:szCs w:val="21"/>
              </w:rPr>
              <w:t>★</w:t>
            </w:r>
            <w:r>
              <w:rPr>
                <w:rFonts w:hint="eastAsia" w:ascii="宋体" w:hAnsi="宋体" w:eastAsia="宋体" w:cs="宋体"/>
                <w:color w:val="auto"/>
                <w:kern w:val="0"/>
                <w:sz w:val="21"/>
                <w:szCs w:val="21"/>
              </w:rPr>
              <w:t>具备基于国家/地区的流量管理功能，提供具备CNAS（中国合格评定国家认可委员会）资质的第三方权威机构关于“国家/地区的流量管理</w:t>
            </w:r>
            <w:r>
              <w:rPr>
                <w:rFonts w:hint="eastAsia" w:ascii="宋体" w:hAnsi="宋体" w:eastAsia="宋体" w:cs="宋体"/>
                <w:bCs/>
                <w:color w:val="auto"/>
                <w:kern w:val="0"/>
                <w:sz w:val="21"/>
                <w:szCs w:val="21"/>
              </w:rPr>
              <w:t>”产品功</w:t>
            </w:r>
            <w:r>
              <w:rPr>
                <w:rFonts w:hint="eastAsia" w:ascii="宋体" w:hAnsi="宋体" w:eastAsia="宋体" w:cs="宋体"/>
                <w:color w:val="auto"/>
                <w:kern w:val="0"/>
                <w:sz w:val="21"/>
                <w:szCs w:val="21"/>
              </w:rPr>
              <w:t>能检测报告。</w:t>
            </w:r>
          </w:p>
        </w:tc>
      </w:tr>
      <w:tr>
        <w:tblPrEx>
          <w:shd w:val="clear" w:color="auto" w:fill="FFFFFF" w:themeFill="background1"/>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kern w:val="0"/>
                <w:sz w:val="21"/>
                <w:szCs w:val="21"/>
              </w:rPr>
              <w:t>★</w:t>
            </w:r>
            <w:r>
              <w:rPr>
                <w:rFonts w:hint="eastAsia" w:ascii="宋体" w:hAnsi="宋体" w:eastAsia="宋体" w:cs="宋体"/>
                <w:bCs/>
                <w:color w:val="auto"/>
                <w:kern w:val="0"/>
                <w:sz w:val="21"/>
                <w:szCs w:val="21"/>
              </w:rPr>
              <w:t>具备勒索软件通信防护功能，</w:t>
            </w:r>
            <w:r>
              <w:rPr>
                <w:rFonts w:hint="eastAsia" w:ascii="宋体" w:hAnsi="宋体" w:eastAsia="宋体" w:cs="宋体"/>
                <w:color w:val="auto"/>
                <w:kern w:val="0"/>
                <w:sz w:val="21"/>
                <w:szCs w:val="21"/>
              </w:rPr>
              <w:t>提供具备CNAS（中国合格评定国家认可委员会）资质的第三方权威机构关于“</w:t>
            </w:r>
            <w:r>
              <w:rPr>
                <w:rFonts w:hint="eastAsia" w:ascii="宋体" w:hAnsi="宋体" w:eastAsia="宋体" w:cs="宋体"/>
                <w:bCs/>
                <w:color w:val="auto"/>
                <w:kern w:val="0"/>
                <w:sz w:val="21"/>
                <w:szCs w:val="21"/>
              </w:rPr>
              <w:t>勒索软件通信防护”产品功</w:t>
            </w:r>
            <w:r>
              <w:rPr>
                <w:rFonts w:hint="eastAsia" w:ascii="宋体" w:hAnsi="宋体" w:eastAsia="宋体" w:cs="宋体"/>
                <w:color w:val="auto"/>
                <w:kern w:val="0"/>
                <w:sz w:val="21"/>
                <w:szCs w:val="21"/>
              </w:rPr>
              <w:t>能检测报告。</w:t>
            </w:r>
          </w:p>
        </w:tc>
      </w:tr>
      <w:tr>
        <w:tblPrEx>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rPr>
              <w:t>支持TearDrop 攻击、IP数据块分片传输、Land攻击、Smurf攻击、WinNuke攻击、超大ICMP数据攻击等异常报文攻击防护，支持IP协议异常报文和TCP协议异常报文攻击防护。</w:t>
            </w:r>
          </w:p>
        </w:tc>
      </w:tr>
      <w:tr>
        <w:tblPrEx>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rPr>
              <w:t>支持病毒排除设置，支持基于文件MD5值和文件下载URL设置病毒白名单</w:t>
            </w:r>
            <w:r>
              <w:rPr>
                <w:rFonts w:hint="eastAsia" w:ascii="宋体" w:hAnsi="宋体" w:eastAsia="宋体" w:cs="宋体"/>
                <w:color w:val="auto"/>
                <w:sz w:val="21"/>
                <w:szCs w:val="21"/>
                <w:lang w:val="en-US" w:eastAsia="zh-CN"/>
              </w:rPr>
              <w:t>;</w:t>
            </w:r>
          </w:p>
        </w:tc>
      </w:tr>
      <w:tr>
        <w:tblPrEx>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支持应用控制策略生命周期管理，包含安全策略的变更时间、变更类型和策略变更用户，并对变更内容记录日志，方便策略的管理和运维。</w:t>
            </w:r>
            <w:r>
              <w:rPr>
                <w:rFonts w:hint="eastAsia" w:ascii="宋体" w:hAnsi="宋体" w:eastAsia="宋体" w:cs="宋体"/>
                <w:b w:val="0"/>
                <w:bCs w:val="0"/>
                <w:color w:val="auto"/>
                <w:sz w:val="21"/>
                <w:szCs w:val="21"/>
                <w:lang w:eastAsia="zh-CN" w:bidi="ar"/>
              </w:rPr>
              <w:t>（需提供产品功能截图证明并加盖厂商公章）</w:t>
            </w:r>
          </w:p>
        </w:tc>
      </w:tr>
      <w:tr>
        <w:tblPrEx>
          <w:tblCellMar>
            <w:top w:w="0" w:type="dxa"/>
            <w:left w:w="108" w:type="dxa"/>
            <w:bottom w:w="0" w:type="dxa"/>
            <w:right w:w="108" w:type="dxa"/>
          </w:tblCellMar>
        </w:tblPrEx>
        <w:trPr>
          <w:trHeight w:val="448" w:hRule="atLeast"/>
          <w:jc w:val="center"/>
        </w:trPr>
        <w:tc>
          <w:tcPr>
            <w:tcW w:w="41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val="0"/>
                <w:color w:val="auto"/>
                <w:kern w:val="0"/>
                <w:sz w:val="21"/>
                <w:szCs w:val="21"/>
              </w:rPr>
            </w:pPr>
          </w:p>
        </w:tc>
        <w:tc>
          <w:tcPr>
            <w:tcW w:w="4581"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rPr>
              <w:t>支持NAT64、NAT46 地址转换</w:t>
            </w:r>
            <w:r>
              <w:rPr>
                <w:rFonts w:hint="eastAsia" w:ascii="宋体" w:hAnsi="宋体" w:eastAsia="宋体" w:cs="宋体"/>
                <w:color w:val="auto"/>
                <w:kern w:val="0"/>
                <w:sz w:val="21"/>
                <w:szCs w:val="21"/>
                <w:lang w:val="en-US" w:eastAsia="zh-CN"/>
              </w:rPr>
              <w:t>;</w:t>
            </w:r>
          </w:p>
        </w:tc>
      </w:tr>
    </w:tbl>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color w:val="000000"/>
          <w:szCs w:val="21"/>
        </w:rPr>
      </w:pPr>
      <w:r>
        <w:rPr>
          <w:rFonts w:hint="eastAsia" w:ascii="宋体" w:hAnsi="宋体" w:cs="宋体"/>
          <w:b/>
          <w:szCs w:val="21"/>
        </w:rPr>
        <w:t>（</w:t>
      </w:r>
      <w:r>
        <w:rPr>
          <w:rFonts w:hint="eastAsia" w:ascii="宋体" w:hAnsi="宋体" w:cs="宋体"/>
          <w:b/>
          <w:szCs w:val="21"/>
          <w:lang w:val="en-US" w:eastAsia="zh-CN"/>
        </w:rPr>
        <w:t>二</w:t>
      </w:r>
      <w:r>
        <w:rPr>
          <w:rFonts w:hint="eastAsia" w:ascii="宋体" w:hAnsi="宋体" w:cs="宋体"/>
          <w:b/>
          <w:szCs w:val="21"/>
        </w:rPr>
        <w:t>）</w:t>
      </w:r>
      <w:r>
        <w:rPr>
          <w:rFonts w:hint="eastAsia" w:ascii="宋体" w:hAnsi="宋体" w:cs="宋体"/>
          <w:b/>
          <w:color w:val="000000"/>
          <w:szCs w:val="21"/>
        </w:rPr>
        <w:t>基本</w:t>
      </w:r>
      <w:r>
        <w:rPr>
          <w:rFonts w:hint="eastAsia" w:ascii="宋体" w:hAnsi="宋体" w:cs="宋体"/>
          <w:b/>
          <w:szCs w:val="21"/>
        </w:rPr>
        <w:t>要求</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供应商应保证所供货物的安全性、可靠性、先进性、经济性和实用性，并为全新、未使用过的原装合格正品，完全符合采购文件规定的质量、规格和性能的要求，达到中国最新版的法律、法规或行业规定的相关标准、规范的要求，符合项目所在地政府有关特殊要求，同时满足采购人使用要求，保证能通过采购人的质量验收、竣工验收等各类验收。</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3.供应商成交后须与采购人在磋商产品的“功能配置、技术要求等”方面及时交底沟通；成交供应商开始制造产品之前，采购人有权要求成交供应商对产品进行微调，最终的产品须经采购人确认同意。</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w:t>
      </w:r>
      <w:r>
        <w:rPr>
          <w:rFonts w:hint="eastAsia" w:ascii="宋体" w:hAnsi="宋体" w:cs="宋体"/>
          <w:b/>
          <w:bCs/>
          <w:szCs w:val="21"/>
          <w:lang w:val="en-US" w:eastAsia="zh-CN"/>
        </w:rPr>
        <w:t>三</w:t>
      </w:r>
      <w:r>
        <w:rPr>
          <w:rFonts w:hint="eastAsia" w:ascii="宋体" w:hAnsi="宋体" w:cs="宋体"/>
          <w:b/>
          <w:szCs w:val="21"/>
        </w:rPr>
        <w:t>）交货</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kern w:val="0"/>
          <w:szCs w:val="21"/>
        </w:rPr>
      </w:pPr>
      <w:r>
        <w:rPr>
          <w:rFonts w:hint="eastAsia" w:ascii="宋体" w:hAnsi="宋体" w:cs="宋体"/>
          <w:b/>
          <w:bCs/>
          <w:szCs w:val="21"/>
        </w:rPr>
        <w:t>自合同签订之日起30日内将货物送至指定地点并安装、调试完毕，如不能如期供货，采购人有权终止合同，中标供应商须承担由此对采购人造成的所有损失</w:t>
      </w:r>
      <w:r>
        <w:rPr>
          <w:rFonts w:hint="eastAsia" w:ascii="宋体" w:hAnsi="宋体" w:cs="宋体"/>
          <w:b/>
          <w:bCs/>
          <w:kern w:val="0"/>
          <w:szCs w:val="21"/>
        </w:rPr>
        <w:t>。</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w:t>
      </w:r>
      <w:r>
        <w:rPr>
          <w:rFonts w:hint="eastAsia" w:ascii="宋体" w:hAnsi="宋体" w:cs="宋体"/>
          <w:b/>
          <w:bCs/>
          <w:szCs w:val="21"/>
          <w:lang w:val="en-US" w:eastAsia="zh-CN"/>
        </w:rPr>
        <w:t>四</w:t>
      </w:r>
      <w:r>
        <w:rPr>
          <w:rFonts w:hint="eastAsia" w:ascii="宋体" w:hAnsi="宋体" w:cs="宋体"/>
          <w:b/>
          <w:bCs/>
          <w:szCs w:val="21"/>
        </w:rPr>
        <w:t>）验收标准</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ascii="宋体" w:hAnsi="宋体" w:cs="宋体"/>
          <w:szCs w:val="21"/>
        </w:rPr>
      </w:pPr>
      <w:r>
        <w:rPr>
          <w:rFonts w:hint="eastAsia" w:ascii="宋体" w:hAnsi="宋体" w:cs="宋体"/>
          <w:szCs w:val="21"/>
        </w:rPr>
        <w:t>1.产品到达交货地点后，采购人和成交供应商在2日内共同检验产品数量、质量等状况，由成交供应商负责并承担相关费用，采购人应积极配合。成交供应商进行安装调试并经过性能测试后，由采购人组织联合验收小组验收。验收合格后，双方在《验收报告》上签字确认。</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ascii="宋体" w:hAnsi="宋体" w:cs="宋体"/>
          <w:szCs w:val="21"/>
        </w:rPr>
      </w:pPr>
      <w:r>
        <w:rPr>
          <w:rFonts w:hint="eastAsia" w:ascii="宋体" w:hAnsi="宋体" w:cs="宋体"/>
          <w:szCs w:val="21"/>
        </w:rPr>
        <w:t>2.对产品的外观或质量问题，采购人应在发现和应当发现之日起30日内向成交供应商提出书面异议，成交供应商在接到书面异议后，应当在2日内负责处理。采购人逾期提出的，对所交产品视为符合合同的规定。</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ascii="宋体" w:hAnsi="宋体" w:cs="宋体"/>
          <w:szCs w:val="21"/>
        </w:rPr>
      </w:pPr>
      <w:r>
        <w:rPr>
          <w:rFonts w:hint="eastAsia" w:ascii="宋体" w:hAnsi="宋体" w:cs="宋体"/>
          <w:szCs w:val="21"/>
        </w:rPr>
        <w:t>3.经双方共同验收，产品性能参数达不到采购合同要求的，采购人可以拒收，并可以解除合同。</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w:t>
      </w:r>
      <w:r>
        <w:rPr>
          <w:rFonts w:hint="eastAsia" w:ascii="宋体" w:hAnsi="宋体" w:cs="宋体"/>
          <w:b/>
          <w:bCs/>
          <w:szCs w:val="21"/>
          <w:lang w:val="en-US" w:eastAsia="zh-CN"/>
        </w:rPr>
        <w:t>五</w:t>
      </w:r>
      <w:r>
        <w:rPr>
          <w:rFonts w:hint="eastAsia" w:ascii="宋体" w:hAnsi="宋体" w:cs="宋体"/>
          <w:b/>
          <w:bCs/>
          <w:szCs w:val="21"/>
        </w:rPr>
        <w:t>）</w:t>
      </w:r>
      <w:r>
        <w:rPr>
          <w:rFonts w:hint="eastAsia" w:ascii="宋体" w:hAnsi="宋体" w:cs="宋体"/>
          <w:b/>
          <w:szCs w:val="21"/>
        </w:rPr>
        <w:t>质保期及售后服务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szCs w:val="21"/>
        </w:rPr>
        <w:t>（1）</w:t>
      </w:r>
      <w:r>
        <w:rPr>
          <w:rFonts w:hint="eastAsia" w:ascii="宋体" w:hAnsi="宋体" w:cs="宋体"/>
        </w:rPr>
        <w:t>质保期：</w:t>
      </w:r>
      <w:r>
        <w:rPr>
          <w:rFonts w:hint="eastAsia" w:ascii="宋体" w:hAnsi="宋体" w:cs="宋体"/>
          <w:b/>
          <w:bCs/>
          <w:color w:val="auto"/>
          <w:szCs w:val="21"/>
          <w:u w:val="none"/>
          <w:lang w:val="en-US" w:eastAsia="zh-CN"/>
        </w:rPr>
        <w:t>壹</w:t>
      </w:r>
      <w:r>
        <w:rPr>
          <w:rFonts w:hint="eastAsia" w:ascii="宋体" w:hAnsi="宋体" w:cs="宋体"/>
          <w:b/>
          <w:bCs/>
          <w:color w:val="auto"/>
        </w:rPr>
        <w:t>年，自</w:t>
      </w:r>
      <w:r>
        <w:rPr>
          <w:rFonts w:hint="eastAsia" w:ascii="宋体" w:hAnsi="宋体" w:cs="宋体"/>
          <w:b/>
          <w:bCs/>
          <w:color w:val="auto"/>
          <w:szCs w:val="21"/>
        </w:rPr>
        <w:t>验收合格之日起算。</w:t>
      </w:r>
      <w:r>
        <w:rPr>
          <w:rFonts w:hint="eastAsia" w:ascii="宋体" w:hAnsi="宋体" w:cs="宋体"/>
          <w:bCs/>
          <w:szCs w:val="21"/>
        </w:rPr>
        <w:t>成交供应商对质保期内所发生的设备维护、维修、更换等一切费用负责。</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（2）售后服务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1.所有的售后服务均由成交供应商受理。如果发生问题并且收到报告，成交供应商应当在2小时内予以答复。</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2.如发现所提供的设备存在问题，需要成交供应商解决或配合解决时，应在接到通知后24小时内派有关人员到达现场，在48小时内排除故障。</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3.成交供应商派往采购人现场的人员，应具有较高的业务素质，现场解决问题时，不得无故拖延或推迟，应为采购人提供最佳的服务。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4.成交供应商必须无偿向采购人提供系统运行初期的技术培训及质保期内的运行技术服务。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5.在质保期内因设备质量问题造成的设备故障和零部件损坏，供应商应无条件维修和/或更换，更换的零部件质保期顺延。</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（3）人员培训</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1.对采购人员工进行该技术内容操作使用和维护保养的培训不少于16小时。</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2.对采购人员工进行设备安全培训。</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3.提供设备运行、调试、维护过程中必要的专用工具、软件，以及对相关人员进行工艺设置、设备运行、调试和维护过程中相关的专用工具及软件使用的培训。</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4.成交供应商应免费提供一定数量的培训资料。</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w:t>
      </w:r>
      <w:r>
        <w:rPr>
          <w:rFonts w:hint="eastAsia" w:ascii="宋体" w:hAnsi="宋体" w:cs="宋体"/>
          <w:b/>
          <w:szCs w:val="21"/>
          <w:lang w:val="en-US" w:eastAsia="zh-CN"/>
        </w:rPr>
        <w:t>六</w:t>
      </w:r>
      <w:r>
        <w:rPr>
          <w:rFonts w:hint="eastAsia" w:ascii="宋体" w:hAnsi="宋体" w:cs="宋体"/>
          <w:b/>
          <w:szCs w:val="21"/>
        </w:rPr>
        <w:t>）付款方式：</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kern w:val="0"/>
          <w:szCs w:val="21"/>
        </w:rPr>
      </w:pPr>
      <w:r>
        <w:rPr>
          <w:rFonts w:hint="eastAsia" w:ascii="宋体" w:hAnsi="宋体" w:cs="宋体"/>
          <w:kern w:val="0"/>
          <w:szCs w:val="21"/>
        </w:rPr>
        <w:t>（1）承包合同方式：总价包干。所有线材、辅材、调试、保险、税金、运输、人工等必须符合采购单位要求，相关费用在报价中一次性包定，不再追加。后期中标供应商不得以任何形式向采购人收取关于本项目的其他任何费用。</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kern w:val="0"/>
          <w:szCs w:val="21"/>
        </w:rPr>
      </w:pPr>
      <w:r>
        <w:rPr>
          <w:rFonts w:hint="eastAsia" w:ascii="宋体" w:hAnsi="宋体" w:cs="宋体"/>
          <w:b/>
          <w:bCs/>
          <w:kern w:val="0"/>
          <w:szCs w:val="21"/>
        </w:rPr>
        <w:t>（2）付款方式：设备进场安装、调试结束,并经采购人验收合格后，采购人向中标供应商支付合同总价的95%；设备正常运行后一年付清余款(不计利息)。</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bCs/>
          <w:kern w:val="0"/>
          <w:szCs w:val="21"/>
        </w:rPr>
      </w:pPr>
      <w:r>
        <w:rPr>
          <w:rFonts w:hint="eastAsia" w:ascii="宋体" w:hAnsi="宋体" w:cs="宋体"/>
          <w:b/>
          <w:bCs/>
          <w:kern w:val="0"/>
          <w:szCs w:val="21"/>
        </w:rPr>
        <w:t>四、询价响应文件的内容：</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bCs/>
          <w:kern w:val="0"/>
          <w:szCs w:val="21"/>
        </w:rPr>
      </w:pPr>
      <w:r>
        <w:rPr>
          <w:rFonts w:hint="eastAsia" w:ascii="宋体" w:hAnsi="宋体" w:cs="宋体"/>
          <w:b/>
          <w:bCs/>
          <w:kern w:val="0"/>
          <w:szCs w:val="21"/>
        </w:rPr>
        <w:t>（一）资格证明材料（提供复印件并加盖公章）</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bCs/>
          <w:kern w:val="0"/>
          <w:szCs w:val="21"/>
        </w:rPr>
        <w:t>1.</w:t>
      </w:r>
      <w:r>
        <w:rPr>
          <w:rFonts w:hint="eastAsia" w:ascii="宋体" w:hAnsi="宋体" w:cs="宋体"/>
          <w:b/>
          <w:color w:val="000000"/>
          <w:szCs w:val="21"/>
        </w:rPr>
        <w:t>一般资格证明材料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★（1）响应函（附件1）</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★（2）</w:t>
      </w:r>
      <w:r>
        <w:rPr>
          <w:rFonts w:hint="eastAsia" w:ascii="宋体" w:hAnsi="宋体" w:cs="宋体"/>
          <w:szCs w:val="21"/>
        </w:rPr>
        <w:t>法人或者其他组织的营业执照等证明文件</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★（3）</w:t>
      </w:r>
      <w:r>
        <w:rPr>
          <w:rFonts w:hint="eastAsia" w:ascii="宋体" w:hAnsi="宋体" w:cs="宋体"/>
          <w:szCs w:val="21"/>
        </w:rPr>
        <w:t>法定代表人资格证明书、法定代表人身份证复印件（双面）（附件2）</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★（4）授权委托书、代理人身份证复印件（双面）（附件3）</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bCs/>
          <w:kern w:val="0"/>
          <w:szCs w:val="21"/>
        </w:rPr>
      </w:pPr>
      <w:r>
        <w:rPr>
          <w:rFonts w:hint="eastAsia" w:ascii="宋体" w:hAnsi="宋体" w:cs="宋体"/>
          <w:b/>
          <w:bCs/>
          <w:kern w:val="0"/>
          <w:szCs w:val="21"/>
        </w:rPr>
        <w:t>（二）符合性证明材料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★1.报价一览表（附件4）</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★2.报价明细表（附件5）</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★3.质保及售后服务承诺书（附件6）</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★4.偏离表（附件7）</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5.其他资料</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bCs/>
          <w:kern w:val="0"/>
          <w:szCs w:val="21"/>
        </w:rPr>
      </w:pPr>
      <w:r>
        <w:rPr>
          <w:rFonts w:hint="eastAsia" w:ascii="宋体" w:hAnsi="宋体" w:cs="宋体"/>
          <w:b/>
          <w:bCs/>
          <w:kern w:val="0"/>
          <w:szCs w:val="21"/>
        </w:rPr>
        <w:t>（三）说明</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1.本询价通知书中所有带“★”的内容均为必须提供，否则将作为无效响应文件处理。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bCs/>
          <w:kern w:val="0"/>
          <w:szCs w:val="21"/>
        </w:rPr>
      </w:pPr>
      <w:r>
        <w:rPr>
          <w:rFonts w:hint="eastAsia" w:ascii="宋体" w:hAnsi="宋体" w:cs="宋体"/>
          <w:bCs/>
          <w:kern w:val="0"/>
          <w:szCs w:val="21"/>
        </w:rPr>
        <w:t>2.供应商应保证所提供的上述资料的真实性和合法性。</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kern w:val="0"/>
          <w:szCs w:val="21"/>
        </w:rPr>
      </w:pPr>
      <w:r>
        <w:rPr>
          <w:rFonts w:hint="eastAsia" w:ascii="宋体" w:hAnsi="宋体" w:cs="宋体"/>
          <w:bCs/>
          <w:kern w:val="0"/>
          <w:szCs w:val="21"/>
        </w:rPr>
        <w:t>3.询价响应文件</w:t>
      </w:r>
      <w:r>
        <w:rPr>
          <w:rFonts w:hint="eastAsia" w:ascii="宋体" w:hAnsi="宋体" w:cs="宋体"/>
          <w:kern w:val="0"/>
          <w:szCs w:val="21"/>
        </w:rPr>
        <w:t>中复印件需加盖公章。</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bCs/>
          <w:kern w:val="0"/>
          <w:szCs w:val="21"/>
        </w:rPr>
      </w:pPr>
      <w:r>
        <w:rPr>
          <w:rFonts w:hint="eastAsia" w:ascii="宋体" w:hAnsi="宋体" w:cs="宋体"/>
          <w:kern w:val="0"/>
          <w:szCs w:val="21"/>
        </w:rPr>
        <w:t>4.询价响应文件提供</w:t>
      </w:r>
      <w:r>
        <w:rPr>
          <w:rFonts w:hint="eastAsia" w:ascii="宋体" w:hAnsi="宋体" w:cs="宋体"/>
          <w:b/>
          <w:bCs/>
          <w:szCs w:val="21"/>
          <w:u w:val="single"/>
        </w:rPr>
        <w:t>壹份“正本”、贰份“副本”</w:t>
      </w:r>
      <w:r>
        <w:rPr>
          <w:rFonts w:hint="eastAsia" w:ascii="宋体" w:hAnsi="宋体" w:cs="宋体"/>
          <w:kern w:val="0"/>
          <w:szCs w:val="21"/>
        </w:rPr>
        <w:t>，均应装订成册，</w:t>
      </w:r>
      <w:r>
        <w:rPr>
          <w:rFonts w:hint="eastAsia" w:ascii="宋体" w:hAnsi="宋体" w:cs="宋体"/>
          <w:b/>
          <w:szCs w:val="21"/>
        </w:rPr>
        <w:t>正本和副本均应当密封，“</w:t>
      </w:r>
      <w:r>
        <w:rPr>
          <w:rFonts w:hint="eastAsia" w:ascii="宋体" w:hAnsi="宋体" w:cs="宋体"/>
          <w:szCs w:val="21"/>
        </w:rPr>
        <w:t>所有封袋上都应当加盖供应商公章。</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szCs w:val="21"/>
        </w:rPr>
      </w:pPr>
      <w:r>
        <w:rPr>
          <w:rFonts w:hint="eastAsia" w:ascii="宋体" w:hAnsi="宋体" w:cs="宋体"/>
          <w:b/>
          <w:szCs w:val="21"/>
        </w:rPr>
        <w:t>五、报价要求</w:t>
      </w:r>
    </w:p>
    <w:p>
      <w:pPr>
        <w:keepNext w:val="0"/>
        <w:keepLines w:val="0"/>
        <w:pageBreakBefore w:val="0"/>
        <w:widowControl w:val="0"/>
        <w:tabs>
          <w:tab w:val="left" w:pos="284"/>
        </w:tabs>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本项目报价为</w:t>
      </w:r>
      <w:r>
        <w:rPr>
          <w:rFonts w:hint="eastAsia" w:ascii="宋体" w:hAnsi="宋体" w:cs="宋体"/>
          <w:b/>
          <w:bCs/>
          <w:szCs w:val="21"/>
          <w:u w:val="single"/>
        </w:rPr>
        <w:t>固定单价</w:t>
      </w:r>
      <w:r>
        <w:rPr>
          <w:rFonts w:hint="eastAsia" w:ascii="宋体" w:hAnsi="宋体" w:cs="宋体"/>
          <w:szCs w:val="21"/>
        </w:rPr>
        <w:t>，报价应包括询价通知书所确定的采购范围相应货物和服务的供货、包装、运输、保险、辅助设备、安装调试、管理、维护（包括质保期内的一切维修、保养、更换零部件、人工等）、劳务、培训、验收、办公设备、设备、工具、耗材、运送工具及耗材、利润、风险、税金及政策性文件规定等各项应有费用，以及为完成该项货物或者服务项目所涉及到的一切相关费用，采购人不再支付其他任何费用。安装、调试、验收过程中，如发现有漏项、缺件，成交供应商应无条件、无偿补齐，所发生的一切费用，视为已包含在供应商的报价之中，且并不因此而影响交付实际使用人的时间。</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kern w:val="0"/>
          <w:szCs w:val="21"/>
        </w:rPr>
      </w:pPr>
      <w:r>
        <w:rPr>
          <w:rFonts w:hint="eastAsia" w:ascii="宋体" w:hAnsi="宋体" w:cs="宋体"/>
          <w:b/>
          <w:kern w:val="0"/>
          <w:szCs w:val="21"/>
        </w:rPr>
        <w:t>六、</w:t>
      </w:r>
      <w:r>
        <w:rPr>
          <w:rFonts w:hint="eastAsia" w:ascii="宋体" w:hAnsi="宋体" w:cs="宋体"/>
          <w:b/>
          <w:szCs w:val="21"/>
        </w:rPr>
        <w:t>评审、定标方法</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kern w:val="0"/>
          <w:szCs w:val="21"/>
        </w:rPr>
      </w:pPr>
      <w:r>
        <w:rPr>
          <w:rFonts w:hint="eastAsia" w:ascii="宋体" w:hAnsi="宋体" w:cs="宋体"/>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kern w:val="0"/>
          <w:szCs w:val="21"/>
        </w:rPr>
        <w:t>2.</w:t>
      </w:r>
      <w:r>
        <w:rPr>
          <w:rFonts w:hint="eastAsia" w:ascii="宋体" w:hAnsi="宋体" w:cs="宋体"/>
          <w:szCs w:val="21"/>
        </w:rPr>
        <w:t>采购人授权询价小组直接确定成交供应商。</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七、成交结果及公示</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代理机构将成交结果在</w:t>
      </w:r>
      <w:r>
        <w:rPr>
          <w:rFonts w:hint="eastAsia" w:ascii="宋体" w:hAnsi="宋体" w:cs="宋体"/>
          <w:b/>
          <w:color w:val="auto"/>
          <w:szCs w:val="21"/>
          <w:highlight w:val="none"/>
        </w:rPr>
        <w:t>中国招投标网、</w:t>
      </w:r>
      <w:r>
        <w:rPr>
          <w:rFonts w:hint="eastAsia" w:ascii="宋体" w:hAnsi="宋体" w:cs="宋体"/>
          <w:b/>
          <w:bCs/>
          <w:szCs w:val="21"/>
        </w:rPr>
        <w:t>常州市城投建设工程招标有限公司网站</w:t>
      </w:r>
      <w:r>
        <w:rPr>
          <w:rFonts w:hint="eastAsia" w:ascii="宋体" w:hAnsi="宋体" w:cs="宋体"/>
          <w:szCs w:val="21"/>
        </w:rPr>
        <w:t>上予以公告。公告期限为1个工作日。</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八、成交通知书</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1.成交结果确定后，代理机构将向成交供应商发出成交通知书。</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2.成交通知对采购人和成交供应商具有法律约束力。成交通知书发出后，采购人改变成交结果或者成交单位供应商放弃成交资格，均应当承担相应的法律责任，且不影响成交服务费的支付。</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九、代理机构服务费</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9.1 代理服务收费标准</w:t>
      </w:r>
    </w:p>
    <w:tbl>
      <w:tblPr>
        <w:tblStyle w:val="20"/>
        <w:tblW w:w="5154"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2744" w:type="dxa"/>
          </w:tcPr>
          <w:p>
            <w:pPr>
              <w:spacing w:line="440" w:lineRule="exact"/>
              <w:ind w:firstLine="945" w:firstLineChars="450"/>
              <w:rPr>
                <w:rFonts w:ascii="宋体" w:hAnsi="宋体" w:cs="宋体"/>
                <w:bCs/>
                <w:szCs w:val="21"/>
              </w:rPr>
            </w:pPr>
            <w:r>
              <w:rPr>
                <w:rFonts w:ascii="宋体" w:hAnsi="宋体" w:cs="宋体"/>
                <w:bCs/>
                <w:szCs w:val="21"/>
              </w:rPr>
              <w:pict>
                <v:line id="Line 47" o:spid="_x0000_s1026" o:spt="20" style="position:absolute;left:0pt;flip:x y;margin-left:27pt;margin-top:-0.4pt;height:134.6pt;width:107.55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kJgIAAEM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">
                  <v:path arrowok="t"/>
                  <v:fill focussize="0,0"/>
                  <v:stroke/>
                  <v:imagedata o:title=""/>
                  <o:lock v:ext="edit"/>
                </v:line>
              </w:pict>
            </w:r>
            <w:r>
              <w:rPr>
                <w:rFonts w:ascii="宋体" w:hAnsi="宋体" w:cs="宋体"/>
                <w:bCs/>
                <w:szCs w:val="21"/>
              </w:rPr>
              <w:pict>
                <v:line id="Line 45" o:spid="_x0000_s1027" o:spt="20" style="position:absolute;left:0pt;margin-left:-8.9pt;margin-top:-0.4pt;height:0pt;width:0.05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">
                  <v:path arrowok="t"/>
                  <v:fill focussize="0,0"/>
                  <v:stroke/>
                  <v:imagedata o:title=""/>
                  <o:lock v:ext="edit"/>
                </v:line>
              </w:pict>
            </w:r>
            <w:r>
              <w:rPr>
                <w:rFonts w:hint="eastAsia" w:ascii="宋体" w:hAnsi="宋体" w:cs="宋体"/>
                <w:bCs/>
                <w:szCs w:val="21"/>
              </w:rPr>
              <w:t>服</w:t>
            </w:r>
          </w:p>
          <w:p>
            <w:pPr>
              <w:spacing w:line="440" w:lineRule="exact"/>
              <w:ind w:firstLine="210" w:firstLineChars="100"/>
              <w:rPr>
                <w:rFonts w:ascii="宋体" w:hAnsi="宋体" w:cs="宋体"/>
                <w:bCs/>
                <w:szCs w:val="21"/>
              </w:rPr>
            </w:pPr>
            <w:r>
              <w:rPr>
                <w:rFonts w:hint="eastAsia" w:ascii="宋体" w:hAnsi="宋体" w:cs="宋体"/>
                <w:bCs/>
                <w:szCs w:val="21"/>
              </w:rPr>
              <w:t>费　　　  务</w:t>
            </w:r>
          </w:p>
          <w:p>
            <w:pPr>
              <w:spacing w:line="440" w:lineRule="exact"/>
              <w:ind w:firstLine="1260" w:firstLineChars="600"/>
              <w:rPr>
                <w:rFonts w:ascii="宋体" w:hAnsi="宋体" w:cs="宋体"/>
                <w:bCs/>
                <w:szCs w:val="21"/>
              </w:rPr>
            </w:pPr>
            <w:r>
              <w:rPr>
                <w:rFonts w:ascii="宋体" w:hAnsi="宋体" w:cs="宋体"/>
                <w:bCs/>
                <w:szCs w:val="21"/>
              </w:rPr>
              <w:pict>
                <v:line id="Line 46" o:spid="_x0000_s1028" o:spt="20" style="position:absolute;left:0pt;flip:x y;margin-left:-6.55pt;margin-top:7.15pt;height:83.05pt;width:141.1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R+JAIAAEM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">
                  <v:path arrowok="t"/>
                  <v:fill focussize="0,0"/>
                  <v:stroke/>
                  <v:imagedata o:title=""/>
                  <o:lock v:ext="edit"/>
                </v:line>
              </w:pict>
            </w:r>
            <w:r>
              <w:rPr>
                <w:rFonts w:hint="eastAsia" w:ascii="宋体" w:hAnsi="宋体" w:cs="宋体"/>
                <w:bCs/>
                <w:szCs w:val="21"/>
              </w:rPr>
              <w:t>　  类</w:t>
            </w:r>
          </w:p>
          <w:p>
            <w:pPr>
              <w:spacing w:line="440" w:lineRule="exact"/>
              <w:ind w:firstLine="1050" w:firstLineChars="500"/>
              <w:rPr>
                <w:rFonts w:ascii="宋体" w:hAnsi="宋体" w:cs="宋体"/>
                <w:bCs/>
                <w:szCs w:val="21"/>
              </w:rPr>
            </w:pPr>
            <w:r>
              <w:rPr>
                <w:rFonts w:hint="eastAsia" w:ascii="宋体" w:hAnsi="宋体" w:cs="宋体"/>
                <w:bCs/>
                <w:szCs w:val="21"/>
              </w:rPr>
              <w:t>率　     型</w:t>
            </w:r>
          </w:p>
          <w:p>
            <w:pPr>
              <w:spacing w:line="440" w:lineRule="exact"/>
              <w:ind w:firstLine="1050" w:firstLineChars="500"/>
              <w:rPr>
                <w:rFonts w:ascii="宋体" w:hAnsi="宋体" w:cs="宋体"/>
                <w:bCs/>
                <w:szCs w:val="21"/>
              </w:rPr>
            </w:pPr>
            <w:r>
              <w:rPr>
                <w:rFonts w:hint="eastAsia" w:ascii="宋体" w:hAnsi="宋体" w:cs="宋体"/>
                <w:bCs/>
                <w:szCs w:val="21"/>
              </w:rPr>
              <w:t>　　　　</w:t>
            </w:r>
          </w:p>
          <w:p>
            <w:pPr>
              <w:spacing w:line="440" w:lineRule="exact"/>
              <w:rPr>
                <w:rFonts w:ascii="宋体" w:hAnsi="宋体" w:cs="宋体"/>
                <w:bCs/>
                <w:szCs w:val="21"/>
              </w:rPr>
            </w:pPr>
            <w:r>
              <w:rPr>
                <w:rFonts w:hint="eastAsia" w:ascii="宋体" w:hAnsi="宋体" w:cs="宋体"/>
                <w:bCs/>
                <w:szCs w:val="21"/>
              </w:rPr>
              <w:t>成交金额（万元）</w:t>
            </w:r>
          </w:p>
        </w:tc>
        <w:tc>
          <w:tcPr>
            <w:tcW w:w="2410" w:type="dxa"/>
            <w:vAlign w:val="center"/>
          </w:tcPr>
          <w:p>
            <w:pPr>
              <w:spacing w:line="440" w:lineRule="exact"/>
              <w:jc w:val="center"/>
              <w:rPr>
                <w:rFonts w:ascii="宋体" w:hAnsi="宋体" w:cs="宋体"/>
                <w:bCs/>
                <w:szCs w:val="21"/>
              </w:rPr>
            </w:pPr>
            <w:r>
              <w:rPr>
                <w:rFonts w:hint="eastAsia" w:ascii="宋体" w:hAnsi="宋体" w:cs="宋体"/>
                <w:bCs/>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100（含，下同）以下</w:t>
            </w:r>
          </w:p>
        </w:tc>
        <w:tc>
          <w:tcPr>
            <w:tcW w:w="2410"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100-500</w:t>
            </w:r>
          </w:p>
        </w:tc>
        <w:tc>
          <w:tcPr>
            <w:tcW w:w="2410"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color w:val="000000"/>
                <w:szCs w:val="21"/>
              </w:rPr>
            </w:pPr>
            <w:r>
              <w:rPr>
                <w:rFonts w:hint="eastAsia" w:ascii="宋体" w:hAnsi="宋体" w:cs="宋体"/>
                <w:color w:val="000000"/>
                <w:szCs w:val="21"/>
              </w:rPr>
              <w:t>500—1000</w:t>
            </w:r>
          </w:p>
        </w:tc>
        <w:tc>
          <w:tcPr>
            <w:tcW w:w="24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color w:val="000000"/>
                <w:szCs w:val="21"/>
              </w:rPr>
            </w:pPr>
            <w:r>
              <w:rPr>
                <w:rFonts w:hint="eastAsia" w:ascii="宋体" w:hAnsi="宋体" w:cs="宋体"/>
                <w:color w:val="000000"/>
                <w:szCs w:val="21"/>
              </w:rPr>
              <w:t>0.8</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w:t>
            </w:r>
          </w:p>
        </w:tc>
        <w:tc>
          <w:tcPr>
            <w:tcW w:w="2410"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w:t>
            </w:r>
          </w:p>
        </w:tc>
      </w:tr>
    </w:tbl>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szCs w:val="21"/>
        </w:rPr>
      </w:pPr>
      <w:r>
        <w:rPr>
          <w:rFonts w:hint="eastAsia" w:ascii="宋体" w:hAnsi="宋体" w:cs="宋体"/>
          <w:szCs w:val="21"/>
        </w:rPr>
        <w:t xml:space="preserve">9.2 成交服务收费按差额定率累进法计算。 </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cs="宋体"/>
          <w:b/>
          <w:szCs w:val="21"/>
        </w:rPr>
      </w:pPr>
      <w:r>
        <w:rPr>
          <w:rFonts w:hint="eastAsia" w:ascii="宋体" w:hAnsi="宋体" w:cs="宋体"/>
          <w:b/>
          <w:szCs w:val="21"/>
        </w:rPr>
        <w:t>9.3 服务费按照上述标准收取并由成交供应商承担，成交供应商应在领取成交通知书时将代理机构服务费付至常州市城投建设工程招标有限公司账户。</w:t>
      </w:r>
      <w:r>
        <w:rPr>
          <w:rFonts w:ascii="宋体" w:hAnsi="宋体" w:cs="宋体"/>
          <w:b/>
          <w:color w:val="FF0000"/>
          <w:szCs w:val="21"/>
        </w:rPr>
        <w:pict>
          <v:shape id="_x0000_s1029" o:spid="_x0000_s1029" style="position:absolute;left:0pt;margin-left:161.85pt;margin-top:17.65pt;height:0.75pt;width:0pt;mso-position-horizontal-relative:page;z-index:-251654144;mso-width-relative:page;mso-height-relative:page;" filled="f"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" path="m0,0l0,15e">
            <v:path arrowok="t" o:connecttype="custom" o:connectlocs="0,0;0,7144" o:connectangles="0,0"/>
            <v:fill on="f" focussize="0,0"/>
            <v:stroke weight="0.05pt"/>
            <v:imagedata o:title=""/>
            <o:lock v:ext="edit"/>
          </v:shape>
        </w:pict>
      </w:r>
    </w:p>
    <w:p>
      <w:pPr>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auto"/>
        <w:rPr>
          <w:rFonts w:ascii="宋体" w:hAnsi="宋体" w:cs="宋体"/>
          <w:szCs w:val="21"/>
        </w:rPr>
      </w:pPr>
      <w:r>
        <w:rPr>
          <w:rFonts w:hint="eastAsia" w:ascii="宋体" w:hAnsi="宋体" w:cs="宋体"/>
          <w:szCs w:val="21"/>
        </w:rPr>
        <w:t>9.4 成交服务收费按上述计算方法不足人民币3000元的，按人民币3000元收取。</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十、合同签订</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成交供应商应在成交通知书发出之日起三十日内按成交通知书规定的时间、地点与采购人签订采购合同。</w:t>
      </w:r>
    </w:p>
    <w:p>
      <w:pPr>
        <w:keepNext w:val="0"/>
        <w:keepLines w:val="0"/>
        <w:pageBreakBefore w:val="0"/>
        <w:widowControl/>
        <w:kinsoku/>
        <w:wordWrap/>
        <w:overflowPunct/>
        <w:topLinePunct w:val="0"/>
        <w:bidi w:val="0"/>
        <w:adjustRightInd w:val="0"/>
        <w:snapToGrid w:val="0"/>
        <w:spacing w:line="360" w:lineRule="exact"/>
        <w:ind w:firstLine="422" w:firstLineChars="200"/>
        <w:jc w:val="left"/>
        <w:textAlignment w:val="auto"/>
        <w:rPr>
          <w:rFonts w:ascii="宋体" w:hAnsi="宋体" w:cs="宋体"/>
          <w:b/>
          <w:bCs/>
          <w:szCs w:val="21"/>
        </w:rPr>
      </w:pPr>
      <w:r>
        <w:rPr>
          <w:rFonts w:hint="eastAsia" w:ascii="宋体" w:hAnsi="宋体" w:cs="宋体"/>
          <w:b/>
          <w:bCs/>
          <w:szCs w:val="21"/>
        </w:rPr>
        <w:t>十二、合同主要条款</w:t>
      </w:r>
    </w:p>
    <w:p>
      <w:pPr>
        <w:pStyle w:val="11"/>
        <w:keepNext w:val="0"/>
        <w:keepLines w:val="0"/>
        <w:pageBreakBefore w:val="0"/>
        <w:widowControl w:val="0"/>
        <w:kinsoku/>
        <w:wordWrap/>
        <w:overflowPunct/>
        <w:topLinePunct w:val="0"/>
        <w:bidi w:val="0"/>
        <w:adjustRightInd w:val="0"/>
        <w:snapToGrid w:val="0"/>
        <w:spacing w:line="400" w:lineRule="exact"/>
        <w:ind w:firstLine="422" w:firstLineChars="200"/>
        <w:textAlignment w:val="auto"/>
        <w:rPr>
          <w:rFonts w:eastAsia="宋体" w:cs="宋体"/>
          <w:b/>
          <w:bCs/>
          <w:color w:val="000000"/>
          <w:sz w:val="21"/>
          <w:szCs w:val="21"/>
        </w:rPr>
      </w:pPr>
      <w:r>
        <w:rPr>
          <w:rFonts w:hint="eastAsia" w:eastAsia="宋体" w:cs="宋体"/>
          <w:b/>
          <w:color w:val="000000"/>
          <w:sz w:val="21"/>
          <w:szCs w:val="21"/>
          <w:lang w:val="zh-CN"/>
        </w:rPr>
        <w:t>采购人（以下称甲</w:t>
      </w:r>
      <w:r>
        <w:rPr>
          <w:rFonts w:hint="eastAsia" w:eastAsia="宋体" w:cs="宋体"/>
          <w:b/>
          <w:color w:val="000000"/>
          <w:sz w:val="21"/>
          <w:szCs w:val="21"/>
        </w:rPr>
        <w:t xml:space="preserve">方）:                       </w:t>
      </w:r>
      <w:r>
        <w:rPr>
          <w:rFonts w:hint="eastAsia" w:eastAsia="宋体" w:cs="宋体"/>
          <w:b/>
          <w:bCs/>
          <w:color w:val="000000"/>
          <w:sz w:val="21"/>
          <w:szCs w:val="21"/>
        </w:rPr>
        <w:t>合同编号：</w:t>
      </w:r>
    </w:p>
    <w:p>
      <w:pPr>
        <w:pStyle w:val="11"/>
        <w:keepNext w:val="0"/>
        <w:keepLines w:val="0"/>
        <w:pageBreakBefore w:val="0"/>
        <w:widowControl w:val="0"/>
        <w:kinsoku/>
        <w:wordWrap/>
        <w:overflowPunct/>
        <w:topLinePunct w:val="0"/>
        <w:bidi w:val="0"/>
        <w:adjustRightInd w:val="0"/>
        <w:snapToGrid w:val="0"/>
        <w:spacing w:line="400" w:lineRule="exact"/>
        <w:ind w:firstLine="422" w:firstLineChars="200"/>
        <w:textAlignment w:val="auto"/>
        <w:rPr>
          <w:rFonts w:eastAsia="宋体" w:cs="宋体"/>
          <w:b/>
          <w:bCs/>
          <w:color w:val="000000"/>
          <w:sz w:val="21"/>
          <w:szCs w:val="21"/>
          <w:u w:val="single"/>
        </w:rPr>
      </w:pPr>
      <w:r>
        <w:rPr>
          <w:rFonts w:hint="eastAsia" w:eastAsia="宋体" w:cs="宋体"/>
          <w:b/>
          <w:bCs/>
          <w:color w:val="000000"/>
          <w:sz w:val="21"/>
          <w:szCs w:val="21"/>
        </w:rPr>
        <w:t>供应商（</w:t>
      </w:r>
      <w:r>
        <w:rPr>
          <w:rFonts w:hint="eastAsia" w:eastAsia="宋体" w:cs="宋体"/>
          <w:b/>
          <w:bCs/>
          <w:color w:val="000000"/>
          <w:sz w:val="21"/>
          <w:szCs w:val="21"/>
          <w:lang w:val="zh-CN"/>
        </w:rPr>
        <w:t>以下称</w:t>
      </w:r>
      <w:r>
        <w:rPr>
          <w:rFonts w:hint="eastAsia" w:eastAsia="宋体" w:cs="宋体"/>
          <w:b/>
          <w:bCs/>
          <w:color w:val="000000"/>
          <w:sz w:val="21"/>
          <w:szCs w:val="21"/>
        </w:rPr>
        <w:t>乙方）:                       签订地点：</w:t>
      </w:r>
    </w:p>
    <w:p>
      <w:pPr>
        <w:pStyle w:val="6"/>
        <w:keepNext w:val="0"/>
        <w:keepLines w:val="0"/>
        <w:pageBreakBefore w:val="0"/>
        <w:widowControl w:val="0"/>
        <w:kinsoku/>
        <w:wordWrap/>
        <w:overflowPunct/>
        <w:topLinePunct w:val="0"/>
        <w:bidi w:val="0"/>
        <w:adjustRightInd w:val="0"/>
        <w:snapToGrid w:val="0"/>
        <w:spacing w:line="400" w:lineRule="exact"/>
        <w:ind w:firstLine="5060" w:firstLineChars="2400"/>
        <w:textAlignment w:val="auto"/>
        <w:rPr>
          <w:rFonts w:hAnsi="宋体" w:cs="宋体"/>
          <w:b/>
          <w:bCs/>
          <w:color w:val="000000"/>
          <w:sz w:val="21"/>
          <w:szCs w:val="21"/>
        </w:rPr>
      </w:pPr>
      <w:r>
        <w:rPr>
          <w:rFonts w:hint="eastAsia" w:hAnsi="宋体" w:cs="宋体"/>
          <w:b/>
          <w:bCs/>
          <w:color w:val="000000"/>
          <w:sz w:val="21"/>
          <w:szCs w:val="21"/>
        </w:rPr>
        <w:t>合同时间</w:t>
      </w:r>
      <w:r>
        <w:rPr>
          <w:rFonts w:hint="eastAsia" w:eastAsia="宋体" w:cs="宋体"/>
          <w:b/>
          <w:bCs/>
          <w:color w:val="000000"/>
          <w:sz w:val="21"/>
          <w:szCs w:val="21"/>
        </w:rPr>
        <w:t>：</w:t>
      </w:r>
      <w:r>
        <w:rPr>
          <w:rFonts w:hint="eastAsia" w:hAnsi="宋体" w:cs="宋体"/>
          <w:b/>
          <w:bCs/>
          <w:color w:val="000000"/>
          <w:sz w:val="21"/>
          <w:szCs w:val="21"/>
          <w:u w:val="single"/>
        </w:rPr>
        <w:t xml:space="preserve">      年   月   日</w:t>
      </w:r>
    </w:p>
    <w:p>
      <w:pPr>
        <w:pStyle w:val="11"/>
        <w:keepNext w:val="0"/>
        <w:keepLines w:val="0"/>
        <w:pageBreakBefore w:val="0"/>
        <w:kinsoku/>
        <w:wordWrap/>
        <w:overflowPunct/>
        <w:topLinePunct w:val="0"/>
        <w:autoSpaceDE/>
        <w:autoSpaceDN/>
        <w:bidi w:val="0"/>
        <w:adjustRightInd w:val="0"/>
        <w:snapToGrid w:val="0"/>
        <w:spacing w:line="360" w:lineRule="exact"/>
        <w:ind w:firstLine="424" w:firstLineChars="202"/>
        <w:textAlignment w:val="auto"/>
        <w:rPr>
          <w:rFonts w:eastAsia="宋体" w:cs="宋体"/>
          <w:color w:val="000000"/>
          <w:sz w:val="21"/>
          <w:szCs w:val="21"/>
        </w:rPr>
      </w:pPr>
      <w:r>
        <w:rPr>
          <w:rFonts w:hint="eastAsia" w:eastAsia="宋体" w:cs="宋体"/>
          <w:color w:val="000000"/>
          <w:sz w:val="21"/>
          <w:szCs w:val="21"/>
        </w:rPr>
        <w:t>甲乙双方依据《中华人民共和国民法典》以及有关法律、法规的规定，经协商一致，订立本合同，以便共同遵守。</w:t>
      </w:r>
    </w:p>
    <w:p>
      <w:pPr>
        <w:pStyle w:val="11"/>
        <w:keepNext w:val="0"/>
        <w:keepLines w:val="0"/>
        <w:pageBreakBefore w:val="0"/>
        <w:kinsoku/>
        <w:wordWrap/>
        <w:overflowPunct/>
        <w:topLinePunct w:val="0"/>
        <w:autoSpaceDE/>
        <w:autoSpaceDN/>
        <w:bidi w:val="0"/>
        <w:adjustRightInd w:val="0"/>
        <w:snapToGrid w:val="0"/>
        <w:spacing w:line="360" w:lineRule="exact"/>
        <w:ind w:firstLine="426" w:firstLineChars="202"/>
        <w:textAlignment w:val="auto"/>
        <w:rPr>
          <w:rFonts w:eastAsia="宋体" w:cs="宋体"/>
          <w:b/>
          <w:color w:val="000000"/>
          <w:sz w:val="21"/>
          <w:szCs w:val="21"/>
        </w:rPr>
      </w:pPr>
      <w:r>
        <w:rPr>
          <w:rFonts w:hint="eastAsia" w:eastAsia="宋体" w:cs="宋体"/>
          <w:b/>
          <w:color w:val="000000"/>
          <w:sz w:val="21"/>
          <w:szCs w:val="21"/>
        </w:rPr>
        <w:t>第一条 合同标的</w:t>
      </w:r>
    </w:p>
    <w:p>
      <w:pPr>
        <w:keepNext w:val="0"/>
        <w:keepLines w:val="0"/>
        <w:pageBreakBefore w:val="0"/>
        <w:widowControl/>
        <w:kinsoku/>
        <w:wordWrap/>
        <w:overflowPunct/>
        <w:topLinePunct w:val="0"/>
        <w:autoSpaceDE/>
        <w:autoSpaceDN/>
        <w:bidi w:val="0"/>
        <w:adjustRightInd w:val="0"/>
        <w:snapToGrid w:val="0"/>
        <w:spacing w:line="360" w:lineRule="exact"/>
        <w:ind w:firstLine="424" w:firstLineChars="202"/>
        <w:jc w:val="left"/>
        <w:textAlignment w:val="auto"/>
        <w:rPr>
          <w:rFonts w:ascii="宋体" w:hAnsi="宋体" w:cs="宋体"/>
          <w:color w:val="000000"/>
          <w:kern w:val="0"/>
          <w:szCs w:val="21"/>
          <w:lang w:val="zh-CN"/>
        </w:rPr>
      </w:pPr>
      <w:r>
        <w:rPr>
          <w:rFonts w:hint="eastAsia" w:ascii="宋体" w:hAnsi="宋体" w:cs="宋体"/>
          <w:color w:val="000000"/>
          <w:kern w:val="0"/>
          <w:szCs w:val="21"/>
          <w:lang w:val="zh-CN"/>
        </w:rPr>
        <w:t>乙方根据甲方需求提供下列产品：         ，产品名称、规格及数量详见乙方询价响应文件。</w:t>
      </w:r>
    </w:p>
    <w:p>
      <w:pPr>
        <w:pStyle w:val="11"/>
        <w:keepNext w:val="0"/>
        <w:keepLines w:val="0"/>
        <w:pageBreakBefore w:val="0"/>
        <w:kinsoku/>
        <w:wordWrap/>
        <w:overflowPunct/>
        <w:topLinePunct w:val="0"/>
        <w:autoSpaceDE/>
        <w:autoSpaceDN/>
        <w:bidi w:val="0"/>
        <w:adjustRightInd w:val="0"/>
        <w:snapToGrid w:val="0"/>
        <w:spacing w:line="360" w:lineRule="exact"/>
        <w:ind w:firstLine="426" w:firstLineChars="202"/>
        <w:textAlignment w:val="auto"/>
        <w:rPr>
          <w:rFonts w:eastAsia="宋体" w:cs="宋体"/>
          <w:b/>
          <w:color w:val="000000"/>
          <w:sz w:val="21"/>
          <w:szCs w:val="21"/>
        </w:rPr>
      </w:pPr>
      <w:r>
        <w:rPr>
          <w:rFonts w:hint="eastAsia" w:eastAsia="宋体" w:cs="宋体"/>
          <w:b/>
          <w:color w:val="000000"/>
          <w:sz w:val="21"/>
          <w:szCs w:val="21"/>
        </w:rPr>
        <w:t>第二条 合同价格</w:t>
      </w:r>
    </w:p>
    <w:p>
      <w:pPr>
        <w:pStyle w:val="11"/>
        <w:keepNext w:val="0"/>
        <w:keepLines w:val="0"/>
        <w:pageBreakBefore w:val="0"/>
        <w:kinsoku/>
        <w:wordWrap/>
        <w:overflowPunct/>
        <w:topLinePunct w:val="0"/>
        <w:autoSpaceDE/>
        <w:autoSpaceDN/>
        <w:bidi w:val="0"/>
        <w:adjustRightInd w:val="0"/>
        <w:snapToGrid w:val="0"/>
        <w:spacing w:line="360" w:lineRule="exact"/>
        <w:ind w:firstLine="426" w:firstLineChars="202"/>
        <w:jc w:val="left"/>
        <w:textAlignment w:val="auto"/>
        <w:rPr>
          <w:rFonts w:eastAsia="宋体" w:cs="宋体"/>
          <w:b/>
          <w:color w:val="000000"/>
          <w:sz w:val="21"/>
          <w:szCs w:val="21"/>
        </w:rPr>
      </w:pPr>
      <w:r>
        <w:rPr>
          <w:rFonts w:hint="eastAsia" w:eastAsia="宋体" w:cs="宋体"/>
          <w:b/>
          <w:color w:val="000000"/>
          <w:sz w:val="21"/>
          <w:szCs w:val="21"/>
        </w:rPr>
        <w:t>签约合同总价（人民币，下同）：</w:t>
      </w:r>
      <w:r>
        <w:rPr>
          <w:rFonts w:hint="eastAsia" w:eastAsia="宋体" w:cs="宋体"/>
          <w:b/>
          <w:color w:val="000000"/>
          <w:sz w:val="21"/>
          <w:szCs w:val="21"/>
          <w:u w:val="single"/>
        </w:rPr>
        <w:t xml:space="preserve">             </w:t>
      </w:r>
      <w:r>
        <w:rPr>
          <w:rFonts w:hint="eastAsia" w:eastAsia="宋体" w:cs="宋体"/>
          <w:b/>
          <w:color w:val="000000"/>
          <w:sz w:val="21"/>
          <w:szCs w:val="21"/>
        </w:rPr>
        <w:t xml:space="preserve">元（小写       ）。 </w:t>
      </w:r>
    </w:p>
    <w:p>
      <w:pPr>
        <w:pStyle w:val="11"/>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sz w:val="21"/>
          <w:szCs w:val="21"/>
        </w:rPr>
      </w:pPr>
      <w:r>
        <w:rPr>
          <w:rFonts w:hint="eastAsia" w:eastAsia="宋体" w:cs="宋体"/>
          <w:sz w:val="21"/>
          <w:szCs w:val="21"/>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pPr>
        <w:pStyle w:val="11"/>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color w:val="000000"/>
          <w:sz w:val="21"/>
          <w:szCs w:val="21"/>
        </w:rPr>
      </w:pPr>
      <w:r>
        <w:rPr>
          <w:rFonts w:hint="eastAsia" w:eastAsia="宋体" w:cs="宋体"/>
          <w:color w:val="000000"/>
          <w:sz w:val="21"/>
          <w:szCs w:val="21"/>
        </w:rPr>
        <w:t>本合同总价款还包含乙方应当提供的伴随服务/售后服务费用。</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第三条 组成本合同的有关文件</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下列与本次采购活动有关的文件及有关附件是本合同不可分割的组成部分，与本合同具有同等法律效力，这些文件包括但不限于：</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 xml:space="preserve">（1）询价通知书（编号：   ）             （2）乙方提供的询价响应文件；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color w:val="000000"/>
          <w:szCs w:val="21"/>
        </w:rPr>
        <w:t>（3）成交通知书；                        （4）甲乙双方商定的其他文件等。</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第</w:t>
      </w:r>
      <w:r>
        <w:rPr>
          <w:rFonts w:hint="eastAsia" w:ascii="宋体" w:hAnsi="宋体" w:cs="宋体"/>
          <w:b/>
          <w:szCs w:val="21"/>
          <w:lang w:val="en-US" w:eastAsia="zh-CN"/>
        </w:rPr>
        <w:t>四</w:t>
      </w:r>
      <w:r>
        <w:rPr>
          <w:rFonts w:hint="eastAsia" w:ascii="宋体" w:hAnsi="宋体" w:cs="宋体"/>
          <w:b/>
          <w:szCs w:val="21"/>
        </w:rPr>
        <w:t>条 合同款结算及支付</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1.本合同项下所有款项均以人民币支付。</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2.本合同项下的采购资金由甲方自行支付，乙方向甲方开具发票。</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color w:val="FF0000"/>
          <w:szCs w:val="21"/>
        </w:rPr>
      </w:pPr>
      <w:r>
        <w:rPr>
          <w:rFonts w:hint="eastAsia" w:ascii="宋体" w:hAnsi="宋体" w:cs="宋体"/>
          <w:b/>
          <w:bCs/>
          <w:szCs w:val="21"/>
        </w:rPr>
        <w:t>3.</w:t>
      </w:r>
      <w:r>
        <w:rPr>
          <w:rFonts w:hint="eastAsia" w:ascii="宋体" w:hAnsi="宋体" w:cs="宋体"/>
          <w:b/>
          <w:bCs/>
          <w:color w:val="000000" w:themeColor="text1"/>
          <w:szCs w:val="21"/>
        </w:rPr>
        <w:t>付款方式：</w:t>
      </w:r>
      <w:r>
        <w:rPr>
          <w:rFonts w:hint="eastAsia" w:ascii="宋体" w:hAnsi="宋体" w:cs="宋体"/>
          <w:b/>
          <w:bCs/>
          <w:kern w:val="0"/>
          <w:szCs w:val="21"/>
        </w:rPr>
        <w:t>设备进场安装、调试结束,并经采购人验收合格后，采购人向中标供应商支付合同总价的95%；设备正常运行后一年付清余款(不计利息)。</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color w:val="000000" w:themeColor="text1"/>
          <w:szCs w:val="21"/>
        </w:rPr>
      </w:pPr>
      <w:r>
        <w:rPr>
          <w:rFonts w:hint="eastAsia" w:ascii="宋体" w:hAnsi="宋体" w:cs="宋体"/>
          <w:b/>
          <w:color w:val="000000" w:themeColor="text1"/>
          <w:szCs w:val="21"/>
        </w:rPr>
        <w:t>第</w:t>
      </w:r>
      <w:r>
        <w:rPr>
          <w:rFonts w:hint="eastAsia" w:ascii="宋体" w:hAnsi="宋体" w:cs="宋体"/>
          <w:b/>
          <w:color w:val="000000" w:themeColor="text1"/>
          <w:szCs w:val="21"/>
          <w:lang w:val="en-US" w:eastAsia="zh-CN"/>
        </w:rPr>
        <w:t>五</w:t>
      </w:r>
      <w:r>
        <w:rPr>
          <w:rFonts w:hint="eastAsia" w:ascii="宋体" w:hAnsi="宋体" w:cs="宋体"/>
          <w:b/>
          <w:color w:val="000000" w:themeColor="text1"/>
          <w:szCs w:val="21"/>
        </w:rPr>
        <w:t>条 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如乙方不能按时交付货物完成安装调试的，每逾期1天，乙方向甲方偿付合同总额5‰的违约金；乙方逾期交付货物或完成安装调试超过10天（含10天），甲方有权解除合同，有权要求乙方按照合同总价5%的标准支付违约金，解除合同的通知自发出之日生效。</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2.甲方未按合同规定的期限向乙方支付货款的，每逾期1天甲方向乙方偿付欠款总额的5‰滞纳金，但累计滞纳金总额不超过欠款总额的5%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3.乙方所交付的货物品种、型号、规格不符合合同规定的，甲方有权拒收，同时有权解除合同，解除合同的通知自发出之日生效。</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4.在乙方承诺的或国家规定的质量保证期内（取两者中最长的期限），如经乙方两次维修或更换，货物仍不能达到合同约定的质量标准、运行效果的，甲方有权要求退货，乙方应退回全部货款，乙方还须赔偿甲方因此遭受的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lang w:val="en-US" w:eastAsia="zh-CN"/>
        </w:rPr>
        <w:t>5</w:t>
      </w:r>
      <w:r>
        <w:rPr>
          <w:rFonts w:hint="eastAsia" w:ascii="宋体" w:hAnsi="宋体" w:cs="宋体"/>
        </w:rPr>
        <w:t>.乙方未按本合同的规定和“服务承诺”提供伴随服务/售后服务的，甲方有权提前解除本合同，同时乙方应按合同总价款的5 %向甲方承担违约责任。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lang w:val="en-US" w:eastAsia="zh-CN"/>
        </w:rPr>
        <w:t>6</w:t>
      </w:r>
      <w:r>
        <w:rPr>
          <w:rFonts w:hint="eastAsia" w:ascii="宋体" w:hAnsi="宋体" w:cs="宋体"/>
        </w:rPr>
        <w:t>.乙方在承担上述一项或多项违约责任后，仍应继续履行合同规定的义务（甲方解除合同的除外）。甲方未能及时追究乙方的任何一项违约责任并不表明甲方放弃追究乙方该项或其他违约责任。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lang w:val="en-US" w:eastAsia="zh-CN"/>
        </w:rPr>
        <w:t>7</w:t>
      </w:r>
      <w:r>
        <w:rPr>
          <w:rFonts w:hint="eastAsia" w:ascii="宋体" w:hAnsi="宋体" w:cs="宋体"/>
        </w:rPr>
        <w:t>.乙方投标属虚假承诺，或经权威部门监测提供的货物不能满足询价通知书要求，或是由于乙方的过错造成合同无法继续履行的，应向甲方支付不少于合同总价30%违约金，若该违约金不足以弥补甲方损失，则应当赔偿甲方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lang w:val="en-US" w:eastAsia="zh-CN"/>
        </w:rPr>
        <w:t>8</w:t>
      </w:r>
      <w:r>
        <w:rPr>
          <w:rFonts w:hint="eastAsia" w:ascii="宋体" w:hAnsi="宋体" w:cs="宋体"/>
        </w:rPr>
        <w:t>.其他未尽事宜，以《民法典》等有关法律法规规定为准，无相关规定的，双方协商解决。</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第</w:t>
      </w:r>
      <w:r>
        <w:rPr>
          <w:rFonts w:hint="eastAsia" w:ascii="宋体" w:hAnsi="宋体" w:cs="宋体"/>
          <w:b/>
          <w:szCs w:val="21"/>
          <w:lang w:val="en-US" w:eastAsia="zh-CN"/>
        </w:rPr>
        <w:t>六</w:t>
      </w:r>
      <w:r>
        <w:rPr>
          <w:rFonts w:hint="eastAsia" w:ascii="宋体" w:hAnsi="宋体" w:cs="宋体"/>
          <w:b/>
          <w:szCs w:val="21"/>
        </w:rPr>
        <w:t>条 合同的变更和终止</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1.本合同一经签订，甲乙双方不得擅自变更、中止或终止合同。</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2.除发生法律规定的不能预见、不能避免并不能克服的客观情况外，甲乙双方不得放弃或拒绝履行合同。乙方放弃或拒绝履行合同，保证金不予退还。</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第</w:t>
      </w:r>
      <w:r>
        <w:rPr>
          <w:rFonts w:hint="eastAsia" w:ascii="宋体" w:hAnsi="宋体" w:cs="宋体"/>
          <w:b/>
          <w:szCs w:val="21"/>
          <w:lang w:val="en-US" w:eastAsia="zh-CN"/>
        </w:rPr>
        <w:t>七</w:t>
      </w:r>
      <w:r>
        <w:rPr>
          <w:rFonts w:hint="eastAsia" w:ascii="宋体" w:hAnsi="宋体" w:cs="宋体"/>
          <w:b/>
          <w:szCs w:val="21"/>
        </w:rPr>
        <w:t>条 合同的转让</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乙方不得擅自部分或全部转让其应履行的合同义务。</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第</w:t>
      </w:r>
      <w:r>
        <w:rPr>
          <w:rFonts w:hint="eastAsia" w:ascii="宋体" w:hAnsi="宋体" w:cs="宋体"/>
          <w:b/>
          <w:szCs w:val="21"/>
          <w:lang w:val="en-US" w:eastAsia="zh-CN"/>
        </w:rPr>
        <w:t>八</w:t>
      </w:r>
      <w:r>
        <w:rPr>
          <w:rFonts w:hint="eastAsia" w:ascii="宋体" w:hAnsi="宋体" w:cs="宋体"/>
          <w:b/>
          <w:szCs w:val="21"/>
        </w:rPr>
        <w:t>条 不可抗力</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甲、乙方中任何一方，因不可抗力不能按时或完全履行合同的，应及时通知对方，并在</w:t>
      </w:r>
      <w:r>
        <w:rPr>
          <w:rFonts w:hint="eastAsia" w:ascii="宋体" w:hAnsi="宋体" w:cs="宋体"/>
          <w:szCs w:val="21"/>
          <w:u w:val="single"/>
        </w:rPr>
        <w:t xml:space="preserve">   个</w:t>
      </w:r>
      <w:r>
        <w:rPr>
          <w:rFonts w:hint="eastAsia" w:ascii="宋体" w:hAnsi="宋体" w:cs="宋体"/>
          <w:szCs w:val="21"/>
        </w:rPr>
        <w:t>工作日内提供相应证明。未履行完合同部分是否继续履行、如何履行等问题，可由双方初步协商，并向主管部门报告。确定为不可抗力原因造成的损失，免予承担责任。</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color w:val="000000" w:themeColor="text1"/>
          <w:szCs w:val="21"/>
        </w:rPr>
      </w:pPr>
      <w:r>
        <w:rPr>
          <w:rFonts w:hint="eastAsia" w:ascii="宋体" w:hAnsi="宋体" w:cs="宋体"/>
          <w:b/>
          <w:color w:val="000000" w:themeColor="text1"/>
          <w:szCs w:val="21"/>
        </w:rPr>
        <w:t>第</w:t>
      </w:r>
      <w:r>
        <w:rPr>
          <w:rFonts w:hint="eastAsia" w:ascii="宋体" w:hAnsi="宋体" w:cs="宋体"/>
          <w:b/>
          <w:color w:val="000000" w:themeColor="text1"/>
          <w:szCs w:val="21"/>
          <w:lang w:val="en-US" w:eastAsia="zh-CN"/>
        </w:rPr>
        <w:t>九</w:t>
      </w:r>
      <w:r>
        <w:rPr>
          <w:rFonts w:hint="eastAsia" w:ascii="宋体" w:hAnsi="宋体" w:cs="宋体"/>
          <w:b/>
          <w:color w:val="000000" w:themeColor="text1"/>
          <w:szCs w:val="21"/>
        </w:rPr>
        <w:t>条 质量问题或缺陷的索赔</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有权按照合同总额5%标准向乙方主张违约金。若上述违约金不足以弥补甲方直接损失和间接损失，则乙方应赔偿甲方所有损失。</w:t>
      </w:r>
    </w:p>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宋体" w:cs="宋体"/>
          <w:szCs w:val="21"/>
        </w:rPr>
      </w:pPr>
      <w:r>
        <w:rPr>
          <w:rFonts w:hint="eastAsia" w:ascii="宋体" w:hAnsi="宋体" w:cs="宋体"/>
          <w:szCs w:val="21"/>
        </w:rPr>
        <w:t xml:space="preserve">    甲方因主张上述权利而支出的所有合理费用，包括但不限于律师费、诉讼费、鉴定费、差旅费、保函费等，均由乙方承担。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第十条 争议的解决</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1.因履行本合同引起的或与本合同有关的争议，甲、乙双方应首先通过友好协商解决，如果协商不能解决争议，则采取以下第（ ）种方式解决争议：</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（1）向甲方所在地人民法院提起诉讼；</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（2）向甲方所在地仲裁委员会按其仲裁规则申请仲裁。</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如没有约定，默认采取第2种方式解决争议。</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2.在法院审理和仲裁期间，除有争议部分外，本合同其他部分应继续履行。</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第十</w:t>
      </w:r>
      <w:r>
        <w:rPr>
          <w:rFonts w:hint="eastAsia" w:ascii="宋体" w:hAnsi="宋体" w:cs="宋体"/>
          <w:b/>
          <w:szCs w:val="21"/>
          <w:lang w:val="en-US" w:eastAsia="zh-CN"/>
        </w:rPr>
        <w:t>一</w:t>
      </w:r>
      <w:r>
        <w:rPr>
          <w:rFonts w:hint="eastAsia" w:ascii="宋体" w:hAnsi="宋体" w:cs="宋体"/>
          <w:b/>
          <w:szCs w:val="21"/>
        </w:rPr>
        <w:t xml:space="preserve">条 诚实信用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乙方应诚实信用，严格按照询价通知书要求和投标承诺履行合同，不向甲方进行商业贿赂或者提供不正当利益。</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第十三 合同生效及其他</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2.本合同一式伍份，甲乙双方各执贰份，代理机构执壹份存档。</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szCs w:val="21"/>
        </w:rPr>
        <w:t>3.本合同应按照中华人民共和国的现行法律进行解释。</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cs="宋体"/>
          <w:color w:val="000000"/>
          <w:szCs w:val="21"/>
        </w:rPr>
      </w:pPr>
      <w:r>
        <w:rPr>
          <w:rFonts w:hint="eastAsia" w:ascii="宋体" w:hAnsi="宋体" w:cs="宋体"/>
          <w:b/>
          <w:bCs/>
          <w:color w:val="000000"/>
          <w:szCs w:val="21"/>
        </w:rPr>
        <w:t>甲    方</w:t>
      </w:r>
      <w:r>
        <w:rPr>
          <w:rFonts w:hint="eastAsia" w:ascii="宋体" w:hAnsi="宋体" w:cs="宋体"/>
          <w:color w:val="000000"/>
          <w:szCs w:val="21"/>
        </w:rPr>
        <w:t xml:space="preserve">：                               </w:t>
      </w:r>
      <w:r>
        <w:rPr>
          <w:rFonts w:hint="eastAsia" w:ascii="宋体" w:hAnsi="宋体" w:cs="宋体"/>
          <w:b/>
          <w:bCs/>
          <w:color w:val="000000"/>
          <w:szCs w:val="21"/>
        </w:rPr>
        <w:t>乙    方</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color w:val="000000"/>
          <w:szCs w:val="21"/>
        </w:rPr>
        <w:t>单位名称（章）：                          单位名称（章）：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color w:val="000000"/>
          <w:szCs w:val="21"/>
        </w:rPr>
        <w:t>单位地址：                               单位地址：</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法定代表人：       委托代理人：          法定代表人：     委托代理人：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电话：                                   电话：            传真：</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传真：                                   开户银行：        帐号：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b/>
          <w:bCs/>
          <w:color w:val="000000"/>
          <w:szCs w:val="21"/>
        </w:rPr>
        <w:t>见证方</w:t>
      </w:r>
      <w:r>
        <w:rPr>
          <w:rFonts w:hint="eastAsia" w:ascii="宋体" w:hAnsi="宋体" w:cs="宋体"/>
          <w:color w:val="000000"/>
          <w:szCs w:val="21"/>
        </w:rPr>
        <w:t>：</w:t>
      </w:r>
    </w:p>
    <w:p>
      <w:pPr>
        <w:keepNext w:val="0"/>
        <w:keepLines w:val="0"/>
        <w:pageBreakBefore w:val="0"/>
        <w:widowControl w:val="0"/>
        <w:tabs>
          <w:tab w:val="left" w:pos="3780"/>
        </w:tabs>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代理机构（章）：</w:t>
      </w:r>
      <w:r>
        <w:rPr>
          <w:rFonts w:hint="eastAsia" w:ascii="宋体" w:hAnsi="宋体" w:cs="宋体"/>
          <w:b/>
          <w:bCs/>
          <w:color w:val="000000"/>
          <w:szCs w:val="21"/>
          <w:u w:val="single"/>
        </w:rPr>
        <w:t>常州市城投建设工程招标有限公司</w:t>
      </w:r>
      <w:r>
        <w:rPr>
          <w:rFonts w:hint="eastAsia" w:ascii="宋体" w:hAnsi="宋体" w:cs="宋体"/>
          <w:color w:val="000000"/>
          <w:szCs w:val="21"/>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szCs w:val="21"/>
        </w:rPr>
      </w:pPr>
      <w:r>
        <w:rPr>
          <w:rFonts w:hint="eastAsia" w:ascii="宋体" w:hAnsi="宋体" w:cs="宋体"/>
          <w:color w:val="000000"/>
          <w:szCs w:val="21"/>
        </w:rPr>
        <w:t>经办人：                                 电  话：</w:t>
      </w:r>
    </w:p>
    <w:p>
      <w:pPr>
        <w:rPr>
          <w:rFonts w:hint="eastAsia" w:ascii="宋体" w:hAnsi="宋体" w:cs="宋体"/>
          <w:b/>
          <w:kern w:val="0"/>
          <w:szCs w:val="21"/>
        </w:rPr>
      </w:pPr>
      <w:r>
        <w:rPr>
          <w:rFonts w:hint="eastAsia" w:ascii="宋体" w:hAnsi="宋体" w:cs="宋体"/>
          <w:b/>
          <w:kern w:val="0"/>
          <w:szCs w:val="21"/>
        </w:rPr>
        <w:br w:type="page"/>
      </w:r>
    </w:p>
    <w:p>
      <w:pPr>
        <w:jc w:val="left"/>
        <w:rPr>
          <w:rFonts w:ascii="宋体" w:hAnsi="宋体" w:cs="宋体"/>
          <w:b/>
          <w:kern w:val="0"/>
          <w:sz w:val="28"/>
          <w:szCs w:val="28"/>
        </w:rPr>
      </w:pPr>
      <w:r>
        <w:rPr>
          <w:rFonts w:hint="eastAsia" w:ascii="宋体" w:hAnsi="宋体" w:cs="宋体"/>
          <w:b/>
          <w:kern w:val="0"/>
          <w:szCs w:val="21"/>
        </w:rPr>
        <w:t>附件1：响应函</w:t>
      </w:r>
    </w:p>
    <w:p>
      <w:pPr>
        <w:pStyle w:val="11"/>
        <w:snapToGrid w:val="0"/>
        <w:spacing w:line="360" w:lineRule="auto"/>
        <w:jc w:val="center"/>
        <w:rPr>
          <w:rFonts w:eastAsia="宋体" w:cs="宋体"/>
          <w:bCs/>
          <w:sz w:val="21"/>
          <w:szCs w:val="21"/>
        </w:rPr>
      </w:pPr>
      <w:r>
        <w:rPr>
          <w:rFonts w:hint="eastAsia" w:eastAsia="宋体" w:cs="宋体"/>
          <w:b/>
          <w:bCs/>
          <w:sz w:val="28"/>
          <w:szCs w:val="28"/>
        </w:rPr>
        <w:t>响应函</w:t>
      </w:r>
    </w:p>
    <w:p>
      <w:pPr>
        <w:spacing w:line="360" w:lineRule="exact"/>
        <w:rPr>
          <w:rFonts w:ascii="宋体" w:hAnsi="宋体" w:cs="宋体"/>
          <w:b/>
          <w:bCs/>
        </w:rPr>
      </w:pPr>
      <w:r>
        <w:rPr>
          <w:rFonts w:hint="eastAsia" w:ascii="宋体" w:hAnsi="宋体" w:cs="宋体"/>
        </w:rPr>
        <w:t>致：</w:t>
      </w:r>
      <w:r>
        <w:rPr>
          <w:rFonts w:hint="eastAsia" w:ascii="宋体" w:hAnsi="宋体" w:cs="宋体"/>
          <w:lang w:eastAsia="zh-CN"/>
        </w:rPr>
        <w:t>常州市应急保障中心</w:t>
      </w:r>
      <w:r>
        <w:rPr>
          <w:rFonts w:hint="eastAsia" w:ascii="宋体" w:hAnsi="宋体" w:cs="宋体"/>
        </w:rPr>
        <w:t>、常州市城投建设工程招标有限公司：</w:t>
      </w:r>
    </w:p>
    <w:p>
      <w:pPr>
        <w:spacing w:line="360" w:lineRule="exact"/>
        <w:ind w:firstLine="420" w:firstLineChars="200"/>
        <w:rPr>
          <w:rFonts w:ascii="宋体" w:hAnsi="宋体" w:cs="宋体"/>
        </w:rPr>
      </w:pPr>
      <w:r>
        <w:rPr>
          <w:rFonts w:hint="eastAsia" w:ascii="宋体" w:hAnsi="宋体" w:cs="宋体"/>
        </w:rPr>
        <w:t>我单位收到贵单位“       号”询价通知书后，经仔细阅读和研究，我单位决定参加本项目的询价活动。为此，我方郑重声明以下诸点，并负法律责任。</w:t>
      </w:r>
    </w:p>
    <w:p>
      <w:pPr>
        <w:pStyle w:val="55"/>
        <w:spacing w:line="360" w:lineRule="exact"/>
        <w:ind w:firstLine="420"/>
        <w:jc w:val="left"/>
        <w:rPr>
          <w:rFonts w:cs="宋体"/>
          <w:sz w:val="21"/>
          <w:szCs w:val="21"/>
        </w:rPr>
      </w:pPr>
      <w:r>
        <w:rPr>
          <w:rFonts w:hint="eastAsia" w:cs="宋体"/>
          <w:color w:val="000000"/>
          <w:sz w:val="21"/>
          <w:szCs w:val="21"/>
        </w:rPr>
        <w:t>1.</w:t>
      </w:r>
      <w:r>
        <w:rPr>
          <w:rFonts w:hint="eastAsia" w:cs="宋体"/>
          <w:sz w:val="21"/>
          <w:szCs w:val="21"/>
        </w:rPr>
        <w:t>我单位愿意遵守贵单位有关采购的各项规定，提供询价通知书中要求的所有资料，并保证完全真实准确，若有虚假和违背，我单位愿意承担由此而产生的一切后果。</w:t>
      </w:r>
    </w:p>
    <w:p>
      <w:pPr>
        <w:pStyle w:val="55"/>
        <w:spacing w:line="360" w:lineRule="exact"/>
        <w:ind w:firstLine="420"/>
        <w:jc w:val="left"/>
        <w:rPr>
          <w:rFonts w:cs="宋体"/>
          <w:sz w:val="21"/>
          <w:szCs w:val="21"/>
        </w:rPr>
      </w:pPr>
      <w:r>
        <w:rPr>
          <w:rFonts w:hint="eastAsia" w:cs="宋体"/>
          <w:sz w:val="21"/>
          <w:szCs w:val="21"/>
        </w:rPr>
        <w:t>2.我单位承诺财务状况良好，依法缴纳税收和社会保障资金，具备履行合同所必需的设备和专业技术能力，参加采购活动前3年内在经营活动中没有重大违法记录。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宋体" w:hAnsi="宋体" w:cs="宋体"/>
          <w:color w:val="000000" w:themeColor="text1"/>
          <w:szCs w:val="21"/>
        </w:rPr>
      </w:pPr>
      <w:r>
        <w:rPr>
          <w:rFonts w:hint="eastAsia" w:ascii="宋体" w:hAnsi="宋体" w:cs="宋体"/>
          <w:color w:val="000000" w:themeColor="text1"/>
          <w:szCs w:val="21"/>
        </w:rPr>
        <w:t>3.我单位承诺保证采购人在使用该货物或其任何一部分时不受第三方提出侵犯其专利权</w:t>
      </w:r>
      <w:r>
        <w:rPr>
          <w:rFonts w:hint="eastAsia" w:ascii="宋体" w:hAnsi="宋体" w:cs="宋体"/>
          <w:color w:val="000000" w:themeColor="text1"/>
          <w:shd w:val="clear" w:color="auto" w:fill="FFFFFF"/>
        </w:rPr>
        <w:t>、著作权、商标权等知识产权的起诉。</w:t>
      </w:r>
      <w:r>
        <w:rPr>
          <w:rFonts w:hint="eastAsia" w:ascii="宋体" w:hAnsi="宋体" w:cs="宋体"/>
          <w:color w:val="000000" w:themeColor="text1"/>
          <w:szCs w:val="21"/>
        </w:rPr>
        <w:t>一旦出现侵权、索赔或诉讼，我单位承担全部责任。</w:t>
      </w:r>
    </w:p>
    <w:p>
      <w:pPr>
        <w:pStyle w:val="55"/>
        <w:spacing w:line="360" w:lineRule="exact"/>
        <w:ind w:firstLine="420"/>
        <w:jc w:val="left"/>
        <w:rPr>
          <w:rFonts w:cs="宋体"/>
          <w:sz w:val="21"/>
          <w:szCs w:val="21"/>
        </w:rPr>
      </w:pPr>
      <w:r>
        <w:rPr>
          <w:rFonts w:hint="eastAsia" w:cs="宋体"/>
          <w:sz w:val="21"/>
          <w:szCs w:val="21"/>
        </w:rPr>
        <w:t>4.我单位承诺该询价响应文件在询价开始后的全过程中保持有效，不作任何更改和变动。并同意按询价通知书中的规定，本询价响应文件的有效期限为投标开始后</w:t>
      </w:r>
      <w:r>
        <w:rPr>
          <w:rFonts w:hint="eastAsia" w:cs="宋体"/>
          <w:sz w:val="21"/>
          <w:szCs w:val="21"/>
          <w:u w:val="single"/>
        </w:rPr>
        <w:t>60</w:t>
      </w:r>
      <w:r>
        <w:rPr>
          <w:rFonts w:hint="eastAsia" w:cs="宋体"/>
          <w:sz w:val="21"/>
          <w:szCs w:val="21"/>
        </w:rPr>
        <w:t>天。</w:t>
      </w:r>
    </w:p>
    <w:p>
      <w:pPr>
        <w:pStyle w:val="55"/>
        <w:spacing w:line="360" w:lineRule="exact"/>
        <w:ind w:firstLine="420"/>
        <w:jc w:val="left"/>
        <w:rPr>
          <w:rFonts w:cs="宋体"/>
          <w:sz w:val="21"/>
          <w:szCs w:val="21"/>
        </w:rPr>
      </w:pPr>
      <w:r>
        <w:rPr>
          <w:rFonts w:hint="eastAsia" w:cs="宋体"/>
          <w:sz w:val="21"/>
          <w:szCs w:val="21"/>
        </w:rPr>
        <w:t>5.我单位愿意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pPr>
        <w:pStyle w:val="55"/>
        <w:spacing w:line="360" w:lineRule="exact"/>
        <w:ind w:firstLine="420"/>
        <w:jc w:val="left"/>
        <w:rPr>
          <w:rFonts w:cs="宋体"/>
          <w:sz w:val="21"/>
          <w:szCs w:val="21"/>
        </w:rPr>
      </w:pPr>
      <w:r>
        <w:rPr>
          <w:rFonts w:hint="eastAsia" w:cs="宋体"/>
          <w:sz w:val="21"/>
          <w:szCs w:val="21"/>
        </w:rPr>
        <w:t>6.我单位认为贵单位有权决定成交供应商，还认为贵单位有权接受或拒绝所有的供应商。</w:t>
      </w:r>
    </w:p>
    <w:p>
      <w:pPr>
        <w:pStyle w:val="55"/>
        <w:spacing w:line="360" w:lineRule="exact"/>
        <w:ind w:firstLine="420"/>
        <w:jc w:val="left"/>
        <w:rPr>
          <w:rFonts w:cs="宋体"/>
          <w:sz w:val="21"/>
          <w:szCs w:val="21"/>
        </w:rPr>
      </w:pPr>
      <w:r>
        <w:rPr>
          <w:rFonts w:hint="eastAsia" w:cs="宋体"/>
          <w:sz w:val="21"/>
          <w:szCs w:val="21"/>
        </w:rPr>
        <w:t>7.我单位愿意遵守询价通知书中所列的收费标准，若我单位成交，按询价通知书的规定支付成交服务费。</w:t>
      </w:r>
    </w:p>
    <w:p>
      <w:pPr>
        <w:pStyle w:val="55"/>
        <w:spacing w:line="360" w:lineRule="exact"/>
        <w:ind w:firstLine="420"/>
        <w:jc w:val="left"/>
        <w:rPr>
          <w:rFonts w:cs="宋体"/>
          <w:sz w:val="21"/>
          <w:szCs w:val="21"/>
        </w:rPr>
      </w:pPr>
      <w:r>
        <w:rPr>
          <w:rFonts w:hint="eastAsia" w:cs="宋体"/>
          <w:sz w:val="21"/>
          <w:szCs w:val="21"/>
        </w:rPr>
        <w:t>8.如果我单位的询价响应文件被接受，愿按《中华人民共和国民法典》履行自己的全部责任，同时严格履行询价通知书中规定的每一项要求，按期、按质、按量履行合同的义务。</w:t>
      </w:r>
    </w:p>
    <w:p>
      <w:pPr>
        <w:pStyle w:val="55"/>
        <w:spacing w:line="360" w:lineRule="exact"/>
        <w:ind w:firstLine="420"/>
        <w:rPr>
          <w:rFonts w:cs="宋体"/>
          <w:sz w:val="21"/>
          <w:szCs w:val="21"/>
        </w:rPr>
      </w:pPr>
      <w:r>
        <w:rPr>
          <w:rFonts w:hint="eastAsia" w:cs="宋体"/>
          <w:sz w:val="21"/>
          <w:szCs w:val="21"/>
        </w:rPr>
        <w:t>9.与本次询价有关的正式通讯地址为：</w:t>
      </w:r>
    </w:p>
    <w:p>
      <w:pPr>
        <w:spacing w:line="360" w:lineRule="exact"/>
        <w:ind w:firstLine="420" w:firstLineChars="200"/>
        <w:rPr>
          <w:rFonts w:ascii="宋体" w:hAnsi="宋体" w:cs="宋体"/>
        </w:rPr>
      </w:pPr>
    </w:p>
    <w:p>
      <w:pPr>
        <w:pStyle w:val="11"/>
        <w:snapToGrid w:val="0"/>
        <w:spacing w:line="360" w:lineRule="auto"/>
        <w:ind w:firstLine="420"/>
        <w:rPr>
          <w:rFonts w:eastAsia="宋体" w:cs="宋体"/>
          <w:sz w:val="21"/>
          <w:szCs w:val="21"/>
          <w:u w:val="single"/>
        </w:rPr>
      </w:pPr>
      <w:r>
        <w:rPr>
          <w:rFonts w:hint="eastAsia" w:eastAsia="宋体" w:cs="宋体"/>
          <w:sz w:val="21"/>
          <w:szCs w:val="21"/>
        </w:rPr>
        <w:t>供应商（公章）：</w:t>
      </w:r>
    </w:p>
    <w:p>
      <w:pPr>
        <w:pStyle w:val="11"/>
        <w:snapToGrid w:val="0"/>
        <w:spacing w:line="360" w:lineRule="auto"/>
        <w:ind w:firstLine="420"/>
        <w:rPr>
          <w:rFonts w:eastAsia="宋体" w:cs="宋体"/>
          <w:sz w:val="21"/>
          <w:szCs w:val="21"/>
        </w:rPr>
      </w:pPr>
      <w:r>
        <w:rPr>
          <w:rFonts w:hint="eastAsia" w:eastAsia="宋体" w:cs="宋体"/>
          <w:sz w:val="21"/>
          <w:szCs w:val="21"/>
        </w:rPr>
        <w:t>法定代表人或其委托代理人（签字）：</w:t>
      </w:r>
    </w:p>
    <w:p>
      <w:pPr>
        <w:pStyle w:val="11"/>
        <w:snapToGrid w:val="0"/>
        <w:spacing w:line="360" w:lineRule="auto"/>
        <w:ind w:firstLine="420"/>
        <w:rPr>
          <w:rFonts w:eastAsia="宋体" w:cs="宋体"/>
          <w:sz w:val="21"/>
          <w:szCs w:val="21"/>
        </w:rPr>
      </w:pPr>
      <w:r>
        <w:rPr>
          <w:rFonts w:hint="eastAsia" w:eastAsia="宋体" w:cs="宋体"/>
          <w:sz w:val="21"/>
          <w:szCs w:val="21"/>
        </w:rPr>
        <w:t>地址：</w:t>
      </w:r>
    </w:p>
    <w:p>
      <w:pPr>
        <w:pStyle w:val="11"/>
        <w:snapToGrid w:val="0"/>
        <w:spacing w:line="360" w:lineRule="auto"/>
        <w:ind w:firstLine="420"/>
        <w:rPr>
          <w:rFonts w:eastAsia="宋体" w:cs="宋体"/>
          <w:sz w:val="21"/>
          <w:szCs w:val="21"/>
        </w:rPr>
      </w:pPr>
      <w:r>
        <w:rPr>
          <w:rFonts w:hint="eastAsia" w:eastAsia="宋体" w:cs="宋体"/>
          <w:sz w:val="21"/>
          <w:szCs w:val="21"/>
        </w:rPr>
        <w:t>电话：    传真：</w:t>
      </w:r>
    </w:p>
    <w:p>
      <w:pPr>
        <w:pStyle w:val="11"/>
        <w:snapToGrid w:val="0"/>
        <w:spacing w:line="360" w:lineRule="auto"/>
        <w:ind w:firstLine="420"/>
        <w:rPr>
          <w:rFonts w:eastAsia="宋体" w:cs="宋体"/>
          <w:sz w:val="21"/>
          <w:szCs w:val="21"/>
          <w:u w:val="single"/>
        </w:rPr>
      </w:pPr>
      <w:r>
        <w:rPr>
          <w:rFonts w:hint="eastAsia" w:eastAsia="宋体" w:cs="宋体"/>
          <w:sz w:val="21"/>
          <w:szCs w:val="21"/>
        </w:rPr>
        <w:t>邮政编码：</w:t>
      </w:r>
    </w:p>
    <w:p>
      <w:pPr>
        <w:pStyle w:val="11"/>
        <w:snapToGrid w:val="0"/>
        <w:spacing w:line="360" w:lineRule="auto"/>
        <w:ind w:firstLine="420"/>
        <w:rPr>
          <w:rFonts w:eastAsia="宋体" w:cs="宋体"/>
          <w:sz w:val="21"/>
          <w:szCs w:val="21"/>
          <w:u w:val="single"/>
        </w:rPr>
      </w:pPr>
      <w:r>
        <w:rPr>
          <w:rFonts w:hint="eastAsia" w:eastAsia="宋体" w:cs="宋体"/>
          <w:sz w:val="21"/>
          <w:szCs w:val="21"/>
        </w:rPr>
        <w:t>开户名称：</w:t>
      </w:r>
    </w:p>
    <w:p>
      <w:pPr>
        <w:pStyle w:val="11"/>
        <w:snapToGrid w:val="0"/>
        <w:spacing w:line="360" w:lineRule="auto"/>
        <w:ind w:firstLine="420"/>
        <w:rPr>
          <w:rFonts w:eastAsia="宋体" w:cs="宋体"/>
          <w:sz w:val="21"/>
          <w:szCs w:val="21"/>
          <w:u w:val="single"/>
        </w:rPr>
      </w:pPr>
      <w:r>
        <w:rPr>
          <w:rFonts w:hint="eastAsia" w:eastAsia="宋体" w:cs="宋体"/>
          <w:sz w:val="21"/>
          <w:szCs w:val="21"/>
        </w:rPr>
        <w:t>开户银行：</w:t>
      </w:r>
    </w:p>
    <w:p>
      <w:pPr>
        <w:pStyle w:val="11"/>
        <w:snapToGrid w:val="0"/>
        <w:spacing w:line="360" w:lineRule="auto"/>
        <w:ind w:firstLine="420"/>
        <w:rPr>
          <w:rFonts w:eastAsia="宋体" w:cs="宋体"/>
          <w:sz w:val="21"/>
          <w:szCs w:val="21"/>
          <w:u w:val="single"/>
        </w:rPr>
      </w:pPr>
      <w:r>
        <w:rPr>
          <w:rFonts w:hint="eastAsia" w:eastAsia="宋体" w:cs="宋体"/>
          <w:sz w:val="21"/>
          <w:szCs w:val="21"/>
        </w:rPr>
        <w:t>银行账号：</w:t>
      </w:r>
    </w:p>
    <w:p>
      <w:pPr>
        <w:pStyle w:val="11"/>
        <w:snapToGrid w:val="0"/>
        <w:spacing w:line="360" w:lineRule="auto"/>
        <w:ind w:firstLine="420"/>
        <w:rPr>
          <w:rFonts w:eastAsia="宋体" w:cs="宋体"/>
          <w:sz w:val="21"/>
          <w:szCs w:val="21"/>
        </w:rPr>
      </w:pPr>
      <w:r>
        <w:rPr>
          <w:rFonts w:hint="eastAsia" w:eastAsia="宋体" w:cs="宋体"/>
          <w:sz w:val="21"/>
          <w:szCs w:val="21"/>
        </w:rPr>
        <w:t xml:space="preserve">日期：     </w:t>
      </w:r>
      <w:r>
        <w:rPr>
          <w:rFonts w:hint="eastAsia" w:eastAsia="宋体" w:cs="宋体"/>
          <w:bCs/>
          <w:sz w:val="21"/>
          <w:szCs w:val="21"/>
        </w:rPr>
        <w:t>年   月   日</w:t>
      </w:r>
    </w:p>
    <w:p>
      <w:pPr>
        <w:widowControl/>
        <w:snapToGrid w:val="0"/>
        <w:spacing w:line="360" w:lineRule="auto"/>
        <w:ind w:right="-308"/>
        <w:jc w:val="left"/>
        <w:rPr>
          <w:rFonts w:ascii="宋体" w:hAnsi="宋体" w:cs="宋体"/>
          <w:kern w:val="0"/>
          <w:szCs w:val="21"/>
        </w:rPr>
      </w:pPr>
    </w:p>
    <w:p>
      <w:pPr>
        <w:pStyle w:val="55"/>
        <w:spacing w:line="360" w:lineRule="exact"/>
        <w:rPr>
          <w:rFonts w:cs="宋体"/>
          <w:b/>
          <w:sz w:val="21"/>
          <w:szCs w:val="21"/>
        </w:rPr>
      </w:pPr>
      <w:r>
        <w:rPr>
          <w:rFonts w:hint="eastAsia" w:cs="宋体"/>
          <w:kern w:val="0"/>
          <w:szCs w:val="21"/>
        </w:rPr>
        <w:br w:type="page"/>
      </w:r>
      <w:r>
        <w:rPr>
          <w:rFonts w:hint="eastAsia" w:cs="宋体"/>
          <w:b/>
          <w:kern w:val="0"/>
          <w:sz w:val="21"/>
          <w:szCs w:val="21"/>
        </w:rPr>
        <w:t>附件</w:t>
      </w:r>
      <w:r>
        <w:rPr>
          <w:rFonts w:hint="eastAsia" w:cs="宋体"/>
          <w:b/>
          <w:sz w:val="21"/>
          <w:szCs w:val="21"/>
        </w:rPr>
        <w:t>2：法定代表人资格证明书</w:t>
      </w:r>
    </w:p>
    <w:p>
      <w:pPr>
        <w:rPr>
          <w:rFonts w:ascii="宋体" w:hAnsi="宋体" w:cs="宋体"/>
        </w:rPr>
      </w:pPr>
    </w:p>
    <w:p>
      <w:pPr>
        <w:spacing w:line="360" w:lineRule="auto"/>
        <w:jc w:val="center"/>
        <w:rPr>
          <w:rFonts w:ascii="宋体" w:hAnsi="宋体" w:cs="宋体"/>
          <w:b/>
          <w:sz w:val="32"/>
          <w:szCs w:val="32"/>
        </w:rPr>
      </w:pPr>
      <w:r>
        <w:rPr>
          <w:rFonts w:hint="eastAsia" w:ascii="宋体" w:hAnsi="宋体" w:cs="宋体"/>
          <w:b/>
          <w:sz w:val="28"/>
          <w:szCs w:val="28"/>
        </w:rPr>
        <w:t>法定代表人资格证明书</w:t>
      </w:r>
    </w:p>
    <w:p>
      <w:pPr>
        <w:spacing w:line="360" w:lineRule="auto"/>
        <w:rPr>
          <w:rFonts w:ascii="宋体" w:hAnsi="宋体" w:cs="宋体"/>
          <w:szCs w:val="21"/>
        </w:rPr>
      </w:pPr>
      <w:r>
        <w:rPr>
          <w:rFonts w:hint="eastAsia" w:ascii="宋体" w:hAnsi="宋体" w:cs="宋体"/>
          <w:szCs w:val="21"/>
        </w:rPr>
        <w:t>供应商名称:</w:t>
      </w:r>
    </w:p>
    <w:p>
      <w:pPr>
        <w:spacing w:line="360" w:lineRule="auto"/>
        <w:rPr>
          <w:rFonts w:ascii="宋体" w:hAnsi="宋体" w:cs="宋体"/>
          <w:szCs w:val="21"/>
        </w:rPr>
      </w:pPr>
      <w:r>
        <w:rPr>
          <w:rFonts w:hint="eastAsia" w:ascii="宋体" w:hAnsi="宋体" w:cs="宋体"/>
          <w:szCs w:val="21"/>
        </w:rPr>
        <w:t>地址:</w:t>
      </w:r>
    </w:p>
    <w:p>
      <w:pPr>
        <w:spacing w:line="360" w:lineRule="auto"/>
        <w:rPr>
          <w:rFonts w:ascii="宋体" w:hAnsi="宋体" w:cs="宋体"/>
          <w:szCs w:val="21"/>
        </w:rPr>
      </w:pPr>
      <w:r>
        <w:rPr>
          <w:rFonts w:hint="eastAsia" w:ascii="宋体" w:hAnsi="宋体" w:cs="宋体"/>
          <w:szCs w:val="21"/>
        </w:rPr>
        <w:t>姓名:            性别:        年龄:        职务:</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的法定代表人。为实施 </w:t>
      </w:r>
      <w:r>
        <w:rPr>
          <w:rFonts w:hint="eastAsia" w:ascii="宋体" w:hAnsi="宋体" w:cs="宋体"/>
          <w:szCs w:val="21"/>
          <w:u w:val="single"/>
        </w:rPr>
        <w:t xml:space="preserve">           （      号） </w:t>
      </w:r>
      <w:r>
        <w:rPr>
          <w:rFonts w:hint="eastAsia" w:ascii="宋体" w:hAnsi="宋体" w:cs="宋体"/>
          <w:szCs w:val="21"/>
        </w:rPr>
        <w:t>的工作，签署上述项目的响应文件、进行合同谈判、签署合同和处理与之有关的一切事务。</w:t>
      </w:r>
    </w:p>
    <w:p>
      <w:pPr>
        <w:spacing w:line="360" w:lineRule="auto"/>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供应商：（公章）</w:t>
      </w:r>
    </w:p>
    <w:p>
      <w:pPr>
        <w:spacing w:line="360" w:lineRule="auto"/>
        <w:rPr>
          <w:rFonts w:ascii="宋体" w:hAnsi="宋体" w:cs="宋体"/>
          <w:szCs w:val="21"/>
        </w:rPr>
      </w:pPr>
      <w:r>
        <w:rPr>
          <w:rFonts w:hint="eastAsia" w:ascii="宋体" w:hAnsi="宋体" w:cs="宋体"/>
          <w:szCs w:val="21"/>
        </w:rPr>
        <w:t>                     法定代表人签字或盖章：</w:t>
      </w:r>
    </w:p>
    <w:p>
      <w:pPr>
        <w:spacing w:line="360" w:lineRule="auto"/>
        <w:ind w:firstLine="3570" w:firstLineChars="1700"/>
        <w:rPr>
          <w:rFonts w:ascii="宋体" w:hAnsi="宋体" w:cs="宋体"/>
          <w:szCs w:val="21"/>
        </w:rPr>
      </w:pPr>
      <w:r>
        <w:rPr>
          <w:rFonts w:hint="eastAsia" w:ascii="宋体" w:hAnsi="宋体" w:cs="宋体"/>
          <w:szCs w:val="21"/>
        </w:rPr>
        <w:t>日期：     年   月   日</w:t>
      </w:r>
    </w:p>
    <w:p>
      <w:pPr>
        <w:tabs>
          <w:tab w:val="left" w:pos="6045"/>
        </w:tabs>
        <w:snapToGrid w:val="0"/>
        <w:spacing w:line="360" w:lineRule="auto"/>
        <w:ind w:left="210" w:hanging="210" w:hangingChars="100"/>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 </w:t>
      </w:r>
    </w:p>
    <w:p>
      <w:pPr>
        <w:snapToGrid w:val="0"/>
        <w:spacing w:line="360" w:lineRule="auto"/>
        <w:rPr>
          <w:rFonts w:ascii="宋体" w:hAnsi="宋体" w:cs="宋体"/>
          <w:szCs w:val="21"/>
        </w:rPr>
      </w:pPr>
    </w:p>
    <w:p>
      <w:pPr>
        <w:snapToGrid w:val="0"/>
        <w:spacing w:line="360" w:lineRule="auto"/>
        <w:rPr>
          <w:rFonts w:ascii="宋体" w:hAnsi="宋体" w:cs="宋体"/>
          <w:b/>
          <w:szCs w:val="21"/>
        </w:rPr>
      </w:pPr>
    </w:p>
    <w:p>
      <w:pPr>
        <w:spacing w:line="360" w:lineRule="auto"/>
        <w:rPr>
          <w:rFonts w:ascii="宋体" w:hAnsi="宋体" w:cs="宋体"/>
          <w:szCs w:val="21"/>
        </w:rPr>
      </w:pPr>
      <w:r>
        <w:rPr>
          <w:rFonts w:hint="eastAsia" w:ascii="宋体" w:hAnsi="宋体" w:cs="宋体"/>
          <w:szCs w:val="21"/>
        </w:rPr>
        <w:t>法定代表人身份证</w:t>
      </w:r>
    </w:p>
    <w:p>
      <w:pPr>
        <w:spacing w:line="360" w:lineRule="auto"/>
        <w:rPr>
          <w:rFonts w:ascii="宋体" w:hAnsi="宋体" w:cs="宋体"/>
          <w:szCs w:val="21"/>
        </w:rPr>
      </w:pPr>
      <w:r>
        <w:rPr>
          <w:rFonts w:hint="eastAsia" w:ascii="宋体" w:hAnsi="宋体" w:cs="宋体"/>
          <w:szCs w:val="21"/>
        </w:rPr>
        <w:t>（双面复印件）粘贴处</w:t>
      </w:r>
    </w:p>
    <w:p>
      <w:pPr>
        <w:pStyle w:val="55"/>
        <w:spacing w:line="360" w:lineRule="exact"/>
        <w:rPr>
          <w:rFonts w:cs="宋体"/>
          <w:b/>
          <w:sz w:val="24"/>
          <w:szCs w:val="28"/>
        </w:rPr>
      </w:pPr>
    </w:p>
    <w:p>
      <w:pPr>
        <w:snapToGrid w:val="0"/>
        <w:spacing w:line="360" w:lineRule="auto"/>
        <w:rPr>
          <w:rFonts w:ascii="宋体" w:hAnsi="宋体" w:cs="宋体"/>
          <w:b/>
          <w:sz w:val="24"/>
          <w:szCs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ageBreakBefore/>
        <w:spacing w:line="360" w:lineRule="auto"/>
        <w:rPr>
          <w:rFonts w:ascii="宋体" w:hAnsi="宋体" w:cs="宋体"/>
          <w:b/>
          <w:szCs w:val="21"/>
        </w:rPr>
      </w:pPr>
      <w:r>
        <w:rPr>
          <w:rFonts w:hint="eastAsia" w:ascii="宋体" w:hAnsi="宋体" w:cs="宋体"/>
          <w:b/>
          <w:szCs w:val="21"/>
        </w:rPr>
        <w:t>附件3：授权委托书</w:t>
      </w:r>
    </w:p>
    <w:p>
      <w:pPr>
        <w:pStyle w:val="55"/>
        <w:spacing w:line="360" w:lineRule="exact"/>
        <w:ind w:firstLine="562"/>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451" w:firstLineChars="215"/>
        <w:rPr>
          <w:rFonts w:ascii="宋体" w:hAnsi="宋体" w:cs="宋体"/>
          <w:szCs w:val="21"/>
        </w:rPr>
      </w:pPr>
      <w:r>
        <w:rPr>
          <w:rFonts w:hint="eastAsia" w:ascii="宋体" w:hAnsi="宋体" w:cs="宋体"/>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pPr>
        <w:adjustRightInd w:val="0"/>
        <w:snapToGrid w:val="0"/>
        <w:spacing w:line="360" w:lineRule="auto"/>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代理人身份证</w:t>
      </w:r>
    </w:p>
    <w:p>
      <w:pPr>
        <w:spacing w:line="360" w:lineRule="auto"/>
        <w:rPr>
          <w:rFonts w:ascii="宋体" w:hAnsi="宋体" w:cs="宋体"/>
          <w:sz w:val="24"/>
          <w:szCs w:val="24"/>
        </w:rPr>
      </w:pPr>
      <w:r>
        <w:rPr>
          <w:rFonts w:hint="eastAsia" w:ascii="宋体" w:hAnsi="宋体" w:cs="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1.法定代表人参加询价时，需携带本人身份证原件。</w:t>
      </w:r>
    </w:p>
    <w:p>
      <w:pPr>
        <w:rPr>
          <w:rFonts w:ascii="宋体" w:hAnsi="宋体" w:cs="宋体"/>
          <w:szCs w:val="21"/>
        </w:rPr>
      </w:pPr>
      <w:r>
        <w:rPr>
          <w:rFonts w:hint="eastAsia" w:ascii="宋体" w:hAnsi="宋体" w:cs="宋体"/>
          <w:szCs w:val="21"/>
        </w:rPr>
        <w:t>2.委托代理人参加询价时，需携带授权委托书和本人身份证原件。</w:t>
      </w:r>
    </w:p>
    <w:p>
      <w:pPr>
        <w:widowControl/>
        <w:snapToGrid w:val="0"/>
        <w:spacing w:line="360" w:lineRule="auto"/>
        <w:ind w:right="-308"/>
        <w:jc w:val="left"/>
        <w:rPr>
          <w:rFonts w:ascii="宋体" w:hAnsi="宋体" w:cs="宋体"/>
          <w:b/>
          <w:kern w:val="0"/>
          <w:szCs w:val="21"/>
        </w:rPr>
      </w:pPr>
      <w:r>
        <w:rPr>
          <w:rFonts w:hint="eastAsia" w:ascii="宋体" w:hAnsi="宋体" w:cs="宋体"/>
          <w:b/>
          <w:kern w:val="0"/>
          <w:szCs w:val="21"/>
        </w:rPr>
        <w:br w:type="page"/>
      </w:r>
    </w:p>
    <w:p>
      <w:pPr>
        <w:pageBreakBefore/>
        <w:spacing w:line="360" w:lineRule="auto"/>
        <w:rPr>
          <w:rFonts w:ascii="宋体" w:hAnsi="宋体" w:cs="宋体"/>
          <w:b/>
          <w:sz w:val="28"/>
          <w:szCs w:val="28"/>
        </w:rPr>
      </w:pPr>
      <w:bookmarkStart w:id="1" w:name="_Hlk38550391"/>
      <w:r>
        <w:rPr>
          <w:rFonts w:hint="eastAsia" w:ascii="宋体" w:hAnsi="宋体" w:cs="宋体"/>
          <w:b/>
          <w:szCs w:val="21"/>
        </w:rPr>
        <w:t>附件4：报价一览表</w:t>
      </w:r>
    </w:p>
    <w:bookmarkEnd w:id="1"/>
    <w:p>
      <w:pPr>
        <w:jc w:val="center"/>
        <w:rPr>
          <w:rFonts w:ascii="宋体" w:hAnsi="宋体" w:cs="宋体"/>
          <w:b/>
          <w:color w:val="000000"/>
          <w:sz w:val="28"/>
          <w:szCs w:val="28"/>
        </w:rPr>
      </w:pPr>
      <w:r>
        <w:rPr>
          <w:rFonts w:hint="eastAsia" w:ascii="宋体" w:hAnsi="宋体" w:cs="宋体"/>
          <w:b/>
          <w:sz w:val="28"/>
          <w:szCs w:val="28"/>
        </w:rPr>
        <w:t>报价</w:t>
      </w:r>
      <w:r>
        <w:rPr>
          <w:rFonts w:hint="eastAsia" w:ascii="宋体" w:hAnsi="宋体" w:cs="宋体"/>
          <w:b/>
          <w:color w:val="000000"/>
          <w:sz w:val="28"/>
          <w:szCs w:val="28"/>
        </w:rPr>
        <w:t>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6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804" w:type="dxa"/>
          </w:tcPr>
          <w:p>
            <w:pPr>
              <w:widowControl/>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68" w:type="dxa"/>
            <w:vAlign w:val="center"/>
          </w:tcPr>
          <w:p>
            <w:pPr>
              <w:jc w:val="center"/>
              <w:rPr>
                <w:rFonts w:ascii="宋体" w:hAnsi="宋体" w:cs="宋体"/>
                <w:color w:val="000000"/>
                <w:szCs w:val="21"/>
              </w:rPr>
            </w:pPr>
            <w:r>
              <w:rPr>
                <w:rFonts w:hint="eastAsia" w:ascii="宋体" w:hAnsi="宋体" w:cs="宋体"/>
                <w:color w:val="000000"/>
                <w:szCs w:val="21"/>
              </w:rPr>
              <w:t>项目编号</w:t>
            </w:r>
          </w:p>
        </w:tc>
        <w:tc>
          <w:tcPr>
            <w:tcW w:w="6804" w:type="dxa"/>
          </w:tcPr>
          <w:p>
            <w:pPr>
              <w:widowControl/>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668" w:type="dxa"/>
            <w:vAlign w:val="center"/>
          </w:tcPr>
          <w:p>
            <w:pPr>
              <w:jc w:val="center"/>
              <w:rPr>
                <w:rFonts w:ascii="宋体" w:hAnsi="宋体" w:cs="宋体"/>
                <w:color w:val="000000"/>
                <w:szCs w:val="21"/>
              </w:rPr>
            </w:pPr>
            <w:r>
              <w:rPr>
                <w:rFonts w:hint="eastAsia" w:ascii="宋体" w:hAnsi="宋体" w:cs="宋体"/>
                <w:color w:val="000000"/>
                <w:szCs w:val="21"/>
              </w:rPr>
              <w:t>投标总价</w:t>
            </w:r>
          </w:p>
        </w:tc>
        <w:tc>
          <w:tcPr>
            <w:tcW w:w="6804" w:type="dxa"/>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668" w:type="dxa"/>
            <w:vAlign w:val="center"/>
          </w:tcPr>
          <w:p>
            <w:pPr>
              <w:jc w:val="center"/>
              <w:rPr>
                <w:rFonts w:ascii="宋体" w:hAnsi="宋体" w:cs="宋体"/>
                <w:color w:val="000000"/>
                <w:szCs w:val="21"/>
              </w:rPr>
            </w:pPr>
            <w:r>
              <w:rPr>
                <w:rFonts w:hint="eastAsia" w:ascii="宋体" w:hAnsi="宋体" w:cs="宋体"/>
                <w:color w:val="000000"/>
                <w:szCs w:val="21"/>
              </w:rPr>
              <w:t>质 保 期</w:t>
            </w:r>
          </w:p>
        </w:tc>
        <w:tc>
          <w:tcPr>
            <w:tcW w:w="6804" w:type="dxa"/>
            <w:vAlign w:val="center"/>
          </w:tcPr>
          <w:p>
            <w:pPr>
              <w:widowControl/>
              <w:jc w:val="center"/>
              <w:rPr>
                <w:rFonts w:ascii="宋体" w:hAnsi="宋体" w:cs="宋体"/>
                <w:color w:val="000000"/>
                <w:szCs w:val="21"/>
              </w:rPr>
            </w:pPr>
            <w:r>
              <w:rPr>
                <w:rFonts w:hint="eastAsia" w:ascii="宋体" w:hAnsi="宋体" w:cs="宋体"/>
                <w:color w:val="000000"/>
                <w:szCs w:val="21"/>
              </w:rPr>
              <w:t xml:space="preserve">          </w:t>
            </w: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附件5.报价明细表</w:t>
      </w:r>
    </w:p>
    <w:p>
      <w:pPr>
        <w:spacing w:line="360" w:lineRule="auto"/>
        <w:jc w:val="left"/>
        <w:rPr>
          <w:rFonts w:ascii="宋体" w:hAnsi="宋体" w:cs="宋体"/>
          <w:b/>
          <w:szCs w:val="21"/>
        </w:rPr>
      </w:pPr>
    </w:p>
    <w:p>
      <w:pPr>
        <w:spacing w:line="360" w:lineRule="auto"/>
        <w:jc w:val="center"/>
        <w:rPr>
          <w:rFonts w:ascii="宋体" w:hAnsi="宋体" w:cs="宋体"/>
          <w:b/>
          <w:sz w:val="28"/>
          <w:szCs w:val="28"/>
        </w:rPr>
      </w:pPr>
      <w:r>
        <w:rPr>
          <w:rFonts w:hint="eastAsia" w:ascii="宋体" w:hAnsi="宋体" w:cs="宋体"/>
          <w:b/>
          <w:sz w:val="28"/>
          <w:szCs w:val="28"/>
        </w:rPr>
        <w:t>报价明细表</w:t>
      </w:r>
    </w:p>
    <w:p>
      <w:pPr>
        <w:snapToGrid w:val="0"/>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4"/>
        <w:gridCol w:w="780"/>
        <w:gridCol w:w="1117"/>
        <w:gridCol w:w="1799"/>
        <w:gridCol w:w="613"/>
        <w:gridCol w:w="618"/>
        <w:gridCol w:w="1013"/>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序号</w:t>
            </w:r>
          </w:p>
        </w:tc>
        <w:tc>
          <w:tcPr>
            <w:tcW w:w="934" w:type="dxa"/>
            <w:vMerge w:val="restart"/>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设备</w:t>
            </w:r>
          </w:p>
          <w:p>
            <w:pPr>
              <w:widowControl/>
              <w:snapToGrid w:val="0"/>
              <w:spacing w:line="280" w:lineRule="exact"/>
              <w:jc w:val="center"/>
              <w:rPr>
                <w:rFonts w:ascii="宋体" w:hAnsi="宋体" w:cs="宋体"/>
                <w:kern w:val="0"/>
                <w:szCs w:val="21"/>
              </w:rPr>
            </w:pPr>
            <w:r>
              <w:rPr>
                <w:rFonts w:hint="eastAsia" w:ascii="宋体" w:hAnsi="宋体" w:cs="宋体"/>
                <w:kern w:val="0"/>
                <w:szCs w:val="21"/>
              </w:rPr>
              <w:t>名称</w:t>
            </w:r>
          </w:p>
        </w:tc>
        <w:tc>
          <w:tcPr>
            <w:tcW w:w="780" w:type="dxa"/>
            <w:vMerge w:val="restart"/>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品牌</w:t>
            </w:r>
          </w:p>
        </w:tc>
        <w:tc>
          <w:tcPr>
            <w:tcW w:w="1117" w:type="dxa"/>
            <w:vMerge w:val="restart"/>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规格型号</w:t>
            </w:r>
          </w:p>
        </w:tc>
        <w:tc>
          <w:tcPr>
            <w:tcW w:w="1799" w:type="dxa"/>
            <w:vMerge w:val="restart"/>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技术参数</w:t>
            </w:r>
          </w:p>
        </w:tc>
        <w:tc>
          <w:tcPr>
            <w:tcW w:w="613" w:type="dxa"/>
            <w:vMerge w:val="restart"/>
            <w:vAlign w:val="center"/>
          </w:tcPr>
          <w:p>
            <w:pPr>
              <w:widowControl/>
              <w:snapToGrid w:val="0"/>
              <w:spacing w:line="280" w:lineRule="exact"/>
              <w:ind w:left="-105" w:leftChars="-50" w:right="-105" w:rightChars="-50"/>
              <w:jc w:val="center"/>
              <w:rPr>
                <w:rFonts w:ascii="宋体" w:hAnsi="宋体" w:cs="宋体"/>
                <w:kern w:val="0"/>
                <w:szCs w:val="21"/>
              </w:rPr>
            </w:pPr>
            <w:r>
              <w:rPr>
                <w:rFonts w:hint="eastAsia" w:ascii="宋体" w:hAnsi="宋体" w:cs="宋体"/>
                <w:kern w:val="0"/>
                <w:szCs w:val="21"/>
              </w:rPr>
              <w:t>数量</w:t>
            </w:r>
          </w:p>
        </w:tc>
        <w:tc>
          <w:tcPr>
            <w:tcW w:w="618" w:type="dxa"/>
            <w:vMerge w:val="restart"/>
            <w:vAlign w:val="center"/>
          </w:tcPr>
          <w:p>
            <w:pPr>
              <w:widowControl/>
              <w:snapToGrid w:val="0"/>
              <w:spacing w:line="280" w:lineRule="exact"/>
              <w:ind w:left="-105" w:leftChars="-50" w:right="-105" w:rightChars="-50"/>
              <w:jc w:val="center"/>
              <w:rPr>
                <w:rFonts w:ascii="宋体" w:hAnsi="宋体" w:cs="宋体"/>
                <w:kern w:val="0"/>
                <w:szCs w:val="21"/>
              </w:rPr>
            </w:pPr>
            <w:r>
              <w:rPr>
                <w:rFonts w:hint="eastAsia" w:ascii="宋体" w:hAnsi="宋体" w:cs="宋体"/>
                <w:kern w:val="0"/>
                <w:szCs w:val="21"/>
              </w:rPr>
              <w:t>单位</w:t>
            </w:r>
          </w:p>
        </w:tc>
        <w:tc>
          <w:tcPr>
            <w:tcW w:w="1991" w:type="dxa"/>
            <w:gridSpan w:val="2"/>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供应商报价（元）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670" w:type="dxa"/>
            <w:vMerge w:val="continue"/>
            <w:vAlign w:val="center"/>
          </w:tcPr>
          <w:p>
            <w:pPr>
              <w:widowControl/>
              <w:snapToGrid w:val="0"/>
              <w:spacing w:line="280" w:lineRule="exact"/>
              <w:jc w:val="center"/>
              <w:rPr>
                <w:rFonts w:ascii="宋体" w:hAnsi="宋体" w:cs="宋体"/>
                <w:kern w:val="0"/>
                <w:szCs w:val="21"/>
              </w:rPr>
            </w:pPr>
          </w:p>
        </w:tc>
        <w:tc>
          <w:tcPr>
            <w:tcW w:w="934" w:type="dxa"/>
            <w:vMerge w:val="continue"/>
            <w:vAlign w:val="center"/>
          </w:tcPr>
          <w:p>
            <w:pPr>
              <w:widowControl/>
              <w:snapToGrid w:val="0"/>
              <w:spacing w:line="280" w:lineRule="exact"/>
              <w:jc w:val="center"/>
              <w:rPr>
                <w:rFonts w:ascii="宋体" w:hAnsi="宋体" w:cs="宋体"/>
                <w:kern w:val="0"/>
                <w:szCs w:val="21"/>
              </w:rPr>
            </w:pPr>
          </w:p>
        </w:tc>
        <w:tc>
          <w:tcPr>
            <w:tcW w:w="780" w:type="dxa"/>
            <w:vMerge w:val="continue"/>
            <w:vAlign w:val="center"/>
          </w:tcPr>
          <w:p>
            <w:pPr>
              <w:widowControl/>
              <w:snapToGrid w:val="0"/>
              <w:spacing w:line="280" w:lineRule="exact"/>
              <w:jc w:val="center"/>
              <w:rPr>
                <w:rFonts w:ascii="宋体" w:hAnsi="宋体" w:cs="宋体"/>
                <w:kern w:val="0"/>
                <w:szCs w:val="21"/>
              </w:rPr>
            </w:pPr>
          </w:p>
        </w:tc>
        <w:tc>
          <w:tcPr>
            <w:tcW w:w="1117" w:type="dxa"/>
            <w:vMerge w:val="continue"/>
            <w:vAlign w:val="center"/>
          </w:tcPr>
          <w:p>
            <w:pPr>
              <w:widowControl/>
              <w:snapToGrid w:val="0"/>
              <w:spacing w:line="280" w:lineRule="exact"/>
              <w:jc w:val="center"/>
              <w:rPr>
                <w:rFonts w:ascii="宋体" w:hAnsi="宋体" w:cs="宋体"/>
                <w:kern w:val="0"/>
                <w:szCs w:val="21"/>
              </w:rPr>
            </w:pPr>
          </w:p>
        </w:tc>
        <w:tc>
          <w:tcPr>
            <w:tcW w:w="1799" w:type="dxa"/>
            <w:vMerge w:val="continue"/>
            <w:vAlign w:val="center"/>
          </w:tcPr>
          <w:p>
            <w:pPr>
              <w:widowControl/>
              <w:snapToGrid w:val="0"/>
              <w:spacing w:line="280" w:lineRule="exact"/>
              <w:jc w:val="center"/>
              <w:rPr>
                <w:rFonts w:ascii="宋体" w:hAnsi="宋体" w:cs="宋体"/>
                <w:kern w:val="0"/>
                <w:szCs w:val="21"/>
              </w:rPr>
            </w:pPr>
          </w:p>
        </w:tc>
        <w:tc>
          <w:tcPr>
            <w:tcW w:w="613" w:type="dxa"/>
            <w:vMerge w:val="continue"/>
            <w:vAlign w:val="center"/>
          </w:tcPr>
          <w:p>
            <w:pPr>
              <w:widowControl/>
              <w:snapToGrid w:val="0"/>
              <w:spacing w:line="280" w:lineRule="exact"/>
              <w:jc w:val="center"/>
              <w:rPr>
                <w:rFonts w:ascii="宋体" w:hAnsi="宋体" w:cs="宋体"/>
                <w:kern w:val="0"/>
                <w:szCs w:val="21"/>
              </w:rPr>
            </w:pPr>
          </w:p>
        </w:tc>
        <w:tc>
          <w:tcPr>
            <w:tcW w:w="618" w:type="dxa"/>
            <w:vMerge w:val="continue"/>
            <w:vAlign w:val="center"/>
          </w:tcPr>
          <w:p>
            <w:pPr>
              <w:widowControl/>
              <w:snapToGrid w:val="0"/>
              <w:spacing w:line="280" w:lineRule="exact"/>
              <w:jc w:val="center"/>
              <w:rPr>
                <w:rFonts w:ascii="宋体" w:hAnsi="宋体" w:cs="宋体"/>
                <w:kern w:val="0"/>
                <w:szCs w:val="21"/>
              </w:rPr>
            </w:pPr>
          </w:p>
        </w:tc>
        <w:tc>
          <w:tcPr>
            <w:tcW w:w="1013" w:type="dxa"/>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单价</w:t>
            </w:r>
          </w:p>
        </w:tc>
        <w:tc>
          <w:tcPr>
            <w:tcW w:w="978" w:type="dxa"/>
            <w:vAlign w:val="center"/>
          </w:tcPr>
          <w:p>
            <w:pPr>
              <w:widowControl/>
              <w:snapToGrid w:val="0"/>
              <w:spacing w:line="280" w:lineRule="exact"/>
              <w:jc w:val="center"/>
              <w:rPr>
                <w:rFonts w:ascii="宋体" w:hAnsi="宋体" w:cs="宋体"/>
                <w:kern w:val="0"/>
                <w:szCs w:val="21"/>
              </w:rPr>
            </w:pPr>
            <w:r>
              <w:rPr>
                <w:rFonts w:hint="eastAsia" w:ascii="宋体" w:hAnsi="宋体" w:cs="宋体"/>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1</w:t>
            </w:r>
          </w:p>
        </w:tc>
        <w:tc>
          <w:tcPr>
            <w:tcW w:w="934" w:type="dxa"/>
            <w:vAlign w:val="center"/>
          </w:tcPr>
          <w:p>
            <w:pPr>
              <w:widowControl/>
              <w:snapToGrid w:val="0"/>
              <w:spacing w:line="360" w:lineRule="exact"/>
              <w:jc w:val="center"/>
              <w:rPr>
                <w:rFonts w:ascii="宋体" w:hAnsi="宋体" w:cs="宋体"/>
                <w:b/>
                <w:bCs/>
                <w:kern w:val="0"/>
                <w:szCs w:val="21"/>
              </w:rPr>
            </w:pPr>
          </w:p>
        </w:tc>
        <w:tc>
          <w:tcPr>
            <w:tcW w:w="780" w:type="dxa"/>
            <w:vAlign w:val="center"/>
          </w:tcPr>
          <w:p>
            <w:pPr>
              <w:widowControl/>
              <w:snapToGrid w:val="0"/>
              <w:spacing w:line="360" w:lineRule="exact"/>
              <w:jc w:val="center"/>
              <w:rPr>
                <w:rFonts w:ascii="宋体" w:hAnsi="宋体" w:cs="宋体"/>
                <w:kern w:val="0"/>
                <w:szCs w:val="21"/>
              </w:rPr>
            </w:pPr>
          </w:p>
        </w:tc>
        <w:tc>
          <w:tcPr>
            <w:tcW w:w="1117" w:type="dxa"/>
            <w:vAlign w:val="center"/>
          </w:tcPr>
          <w:p>
            <w:pPr>
              <w:widowControl/>
              <w:snapToGrid w:val="0"/>
              <w:spacing w:line="360" w:lineRule="exact"/>
              <w:jc w:val="center"/>
              <w:rPr>
                <w:rFonts w:ascii="宋体" w:hAnsi="宋体" w:cs="宋体"/>
                <w:kern w:val="0"/>
                <w:szCs w:val="21"/>
              </w:rPr>
            </w:pPr>
          </w:p>
        </w:tc>
        <w:tc>
          <w:tcPr>
            <w:tcW w:w="1799" w:type="dxa"/>
            <w:vAlign w:val="center"/>
          </w:tcPr>
          <w:p>
            <w:pPr>
              <w:widowControl/>
              <w:snapToGrid w:val="0"/>
              <w:spacing w:line="360" w:lineRule="exact"/>
              <w:jc w:val="center"/>
              <w:rPr>
                <w:rFonts w:ascii="宋体" w:hAnsi="宋体" w:cs="宋体"/>
                <w:kern w:val="0"/>
                <w:szCs w:val="21"/>
              </w:rPr>
            </w:pPr>
          </w:p>
        </w:tc>
        <w:tc>
          <w:tcPr>
            <w:tcW w:w="613" w:type="dxa"/>
            <w:vAlign w:val="center"/>
          </w:tcPr>
          <w:p>
            <w:pPr>
              <w:widowControl/>
              <w:snapToGrid w:val="0"/>
              <w:spacing w:line="360" w:lineRule="exact"/>
              <w:jc w:val="center"/>
              <w:rPr>
                <w:rFonts w:ascii="宋体" w:hAnsi="宋体" w:cs="宋体"/>
                <w:kern w:val="0"/>
                <w:szCs w:val="21"/>
              </w:rPr>
            </w:pPr>
          </w:p>
        </w:tc>
        <w:tc>
          <w:tcPr>
            <w:tcW w:w="618" w:type="dxa"/>
            <w:vAlign w:val="center"/>
          </w:tcPr>
          <w:p>
            <w:pPr>
              <w:widowControl/>
              <w:snapToGrid w:val="0"/>
              <w:spacing w:line="360" w:lineRule="exact"/>
              <w:jc w:val="center"/>
              <w:rPr>
                <w:rFonts w:ascii="宋体" w:hAnsi="宋体" w:cs="宋体"/>
                <w:kern w:val="0"/>
                <w:szCs w:val="21"/>
              </w:rPr>
            </w:pPr>
          </w:p>
        </w:tc>
        <w:tc>
          <w:tcPr>
            <w:tcW w:w="1013" w:type="dxa"/>
            <w:vAlign w:val="center"/>
          </w:tcPr>
          <w:p>
            <w:pPr>
              <w:widowControl/>
              <w:snapToGrid w:val="0"/>
              <w:spacing w:line="360" w:lineRule="exact"/>
              <w:jc w:val="center"/>
              <w:rPr>
                <w:rFonts w:ascii="宋体" w:hAnsi="宋体" w:cs="宋体"/>
                <w:kern w:val="0"/>
                <w:szCs w:val="21"/>
              </w:rPr>
            </w:pPr>
          </w:p>
        </w:tc>
        <w:tc>
          <w:tcPr>
            <w:tcW w:w="978" w:type="dxa"/>
            <w:vAlign w:val="center"/>
          </w:tcPr>
          <w:p>
            <w:pPr>
              <w:widowControl/>
              <w:snapToGrid w:val="0"/>
              <w:spacing w:line="3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2</w:t>
            </w:r>
          </w:p>
        </w:tc>
        <w:tc>
          <w:tcPr>
            <w:tcW w:w="934" w:type="dxa"/>
            <w:vAlign w:val="center"/>
          </w:tcPr>
          <w:p>
            <w:pPr>
              <w:widowControl/>
              <w:snapToGrid w:val="0"/>
              <w:spacing w:line="360" w:lineRule="exact"/>
              <w:jc w:val="center"/>
              <w:rPr>
                <w:rFonts w:ascii="宋体" w:hAnsi="宋体" w:cs="宋体"/>
                <w:b/>
                <w:bCs/>
                <w:kern w:val="0"/>
                <w:szCs w:val="21"/>
              </w:rPr>
            </w:pPr>
          </w:p>
        </w:tc>
        <w:tc>
          <w:tcPr>
            <w:tcW w:w="780" w:type="dxa"/>
            <w:vAlign w:val="center"/>
          </w:tcPr>
          <w:p>
            <w:pPr>
              <w:widowControl/>
              <w:snapToGrid w:val="0"/>
              <w:spacing w:line="360" w:lineRule="exact"/>
              <w:jc w:val="center"/>
              <w:rPr>
                <w:rFonts w:ascii="宋体" w:hAnsi="宋体" w:cs="宋体"/>
                <w:kern w:val="0"/>
                <w:szCs w:val="21"/>
              </w:rPr>
            </w:pPr>
          </w:p>
        </w:tc>
        <w:tc>
          <w:tcPr>
            <w:tcW w:w="1117" w:type="dxa"/>
            <w:vAlign w:val="center"/>
          </w:tcPr>
          <w:p>
            <w:pPr>
              <w:widowControl/>
              <w:snapToGrid w:val="0"/>
              <w:spacing w:line="360" w:lineRule="exact"/>
              <w:jc w:val="center"/>
              <w:rPr>
                <w:rFonts w:ascii="宋体" w:hAnsi="宋体" w:cs="宋体"/>
                <w:kern w:val="0"/>
                <w:szCs w:val="21"/>
              </w:rPr>
            </w:pPr>
          </w:p>
        </w:tc>
        <w:tc>
          <w:tcPr>
            <w:tcW w:w="1799" w:type="dxa"/>
            <w:vAlign w:val="center"/>
          </w:tcPr>
          <w:p>
            <w:pPr>
              <w:widowControl/>
              <w:snapToGrid w:val="0"/>
              <w:spacing w:line="360" w:lineRule="exact"/>
              <w:jc w:val="center"/>
              <w:rPr>
                <w:rFonts w:ascii="宋体" w:hAnsi="宋体" w:cs="宋体"/>
                <w:kern w:val="0"/>
                <w:szCs w:val="21"/>
              </w:rPr>
            </w:pPr>
          </w:p>
        </w:tc>
        <w:tc>
          <w:tcPr>
            <w:tcW w:w="613" w:type="dxa"/>
            <w:vAlign w:val="center"/>
          </w:tcPr>
          <w:p>
            <w:pPr>
              <w:widowControl/>
              <w:snapToGrid w:val="0"/>
              <w:spacing w:line="360" w:lineRule="exact"/>
              <w:jc w:val="center"/>
              <w:rPr>
                <w:rFonts w:ascii="宋体" w:hAnsi="宋体" w:cs="宋体"/>
                <w:kern w:val="0"/>
                <w:szCs w:val="21"/>
              </w:rPr>
            </w:pPr>
          </w:p>
        </w:tc>
        <w:tc>
          <w:tcPr>
            <w:tcW w:w="618" w:type="dxa"/>
            <w:vAlign w:val="center"/>
          </w:tcPr>
          <w:p>
            <w:pPr>
              <w:widowControl/>
              <w:snapToGrid w:val="0"/>
              <w:spacing w:line="360" w:lineRule="exact"/>
              <w:jc w:val="center"/>
              <w:rPr>
                <w:rFonts w:ascii="宋体" w:hAnsi="宋体" w:cs="宋体"/>
                <w:kern w:val="0"/>
                <w:szCs w:val="21"/>
              </w:rPr>
            </w:pPr>
          </w:p>
        </w:tc>
        <w:tc>
          <w:tcPr>
            <w:tcW w:w="1013" w:type="dxa"/>
            <w:vAlign w:val="center"/>
          </w:tcPr>
          <w:p>
            <w:pPr>
              <w:widowControl/>
              <w:snapToGrid w:val="0"/>
              <w:spacing w:line="360" w:lineRule="exact"/>
              <w:jc w:val="center"/>
              <w:rPr>
                <w:rFonts w:ascii="宋体" w:hAnsi="宋体" w:cs="宋体"/>
                <w:kern w:val="0"/>
                <w:szCs w:val="21"/>
              </w:rPr>
            </w:pPr>
          </w:p>
        </w:tc>
        <w:tc>
          <w:tcPr>
            <w:tcW w:w="978" w:type="dxa"/>
            <w:vAlign w:val="center"/>
          </w:tcPr>
          <w:p>
            <w:pPr>
              <w:widowControl/>
              <w:snapToGrid w:val="0"/>
              <w:spacing w:line="3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3</w:t>
            </w:r>
          </w:p>
        </w:tc>
        <w:tc>
          <w:tcPr>
            <w:tcW w:w="934" w:type="dxa"/>
            <w:vAlign w:val="center"/>
          </w:tcPr>
          <w:p>
            <w:pPr>
              <w:widowControl/>
              <w:snapToGrid w:val="0"/>
              <w:spacing w:line="360" w:lineRule="exact"/>
              <w:jc w:val="center"/>
              <w:rPr>
                <w:rFonts w:ascii="宋体" w:hAnsi="宋体" w:cs="宋体"/>
                <w:b/>
                <w:bCs/>
                <w:kern w:val="0"/>
                <w:szCs w:val="21"/>
              </w:rPr>
            </w:pPr>
          </w:p>
        </w:tc>
        <w:tc>
          <w:tcPr>
            <w:tcW w:w="780" w:type="dxa"/>
            <w:vAlign w:val="center"/>
          </w:tcPr>
          <w:p>
            <w:pPr>
              <w:widowControl/>
              <w:snapToGrid w:val="0"/>
              <w:spacing w:line="360" w:lineRule="exact"/>
              <w:jc w:val="center"/>
              <w:rPr>
                <w:rFonts w:ascii="宋体" w:hAnsi="宋体" w:cs="宋体"/>
                <w:kern w:val="0"/>
                <w:szCs w:val="21"/>
              </w:rPr>
            </w:pPr>
          </w:p>
        </w:tc>
        <w:tc>
          <w:tcPr>
            <w:tcW w:w="1117" w:type="dxa"/>
            <w:vAlign w:val="center"/>
          </w:tcPr>
          <w:p>
            <w:pPr>
              <w:widowControl/>
              <w:snapToGrid w:val="0"/>
              <w:spacing w:line="360" w:lineRule="exact"/>
              <w:jc w:val="center"/>
              <w:rPr>
                <w:rFonts w:ascii="宋体" w:hAnsi="宋体" w:cs="宋体"/>
                <w:kern w:val="0"/>
                <w:szCs w:val="21"/>
              </w:rPr>
            </w:pPr>
          </w:p>
        </w:tc>
        <w:tc>
          <w:tcPr>
            <w:tcW w:w="1799" w:type="dxa"/>
            <w:vAlign w:val="center"/>
          </w:tcPr>
          <w:p>
            <w:pPr>
              <w:widowControl/>
              <w:snapToGrid w:val="0"/>
              <w:spacing w:line="360" w:lineRule="exact"/>
              <w:jc w:val="center"/>
              <w:rPr>
                <w:rFonts w:ascii="宋体" w:hAnsi="宋体" w:cs="宋体"/>
                <w:kern w:val="0"/>
                <w:szCs w:val="21"/>
              </w:rPr>
            </w:pPr>
          </w:p>
        </w:tc>
        <w:tc>
          <w:tcPr>
            <w:tcW w:w="613" w:type="dxa"/>
            <w:vAlign w:val="center"/>
          </w:tcPr>
          <w:p>
            <w:pPr>
              <w:widowControl/>
              <w:snapToGrid w:val="0"/>
              <w:spacing w:line="360" w:lineRule="exact"/>
              <w:jc w:val="center"/>
              <w:rPr>
                <w:rFonts w:ascii="宋体" w:hAnsi="宋体" w:cs="宋体"/>
                <w:kern w:val="0"/>
                <w:szCs w:val="21"/>
              </w:rPr>
            </w:pPr>
          </w:p>
        </w:tc>
        <w:tc>
          <w:tcPr>
            <w:tcW w:w="618" w:type="dxa"/>
            <w:vAlign w:val="center"/>
          </w:tcPr>
          <w:p>
            <w:pPr>
              <w:widowControl/>
              <w:snapToGrid w:val="0"/>
              <w:spacing w:line="360" w:lineRule="exact"/>
              <w:jc w:val="center"/>
              <w:rPr>
                <w:rFonts w:ascii="宋体" w:hAnsi="宋体" w:cs="宋体"/>
                <w:kern w:val="0"/>
                <w:szCs w:val="21"/>
              </w:rPr>
            </w:pPr>
          </w:p>
        </w:tc>
        <w:tc>
          <w:tcPr>
            <w:tcW w:w="1013" w:type="dxa"/>
            <w:vAlign w:val="center"/>
          </w:tcPr>
          <w:p>
            <w:pPr>
              <w:widowControl/>
              <w:snapToGrid w:val="0"/>
              <w:spacing w:line="360" w:lineRule="exact"/>
              <w:jc w:val="center"/>
              <w:rPr>
                <w:rFonts w:ascii="宋体" w:hAnsi="宋体" w:cs="宋体"/>
                <w:kern w:val="0"/>
                <w:szCs w:val="21"/>
              </w:rPr>
            </w:pPr>
          </w:p>
        </w:tc>
        <w:tc>
          <w:tcPr>
            <w:tcW w:w="978" w:type="dxa"/>
            <w:vAlign w:val="center"/>
          </w:tcPr>
          <w:p>
            <w:pPr>
              <w:widowControl/>
              <w:snapToGrid w:val="0"/>
              <w:spacing w:line="3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w:t>
            </w:r>
          </w:p>
        </w:tc>
        <w:tc>
          <w:tcPr>
            <w:tcW w:w="934" w:type="dxa"/>
            <w:vAlign w:val="center"/>
          </w:tcPr>
          <w:p>
            <w:pPr>
              <w:widowControl/>
              <w:snapToGrid w:val="0"/>
              <w:spacing w:line="360" w:lineRule="exact"/>
              <w:jc w:val="center"/>
              <w:rPr>
                <w:rFonts w:ascii="宋体" w:hAnsi="宋体" w:cs="宋体"/>
                <w:b/>
                <w:bCs/>
                <w:kern w:val="0"/>
                <w:szCs w:val="21"/>
              </w:rPr>
            </w:pPr>
          </w:p>
        </w:tc>
        <w:tc>
          <w:tcPr>
            <w:tcW w:w="780" w:type="dxa"/>
            <w:vAlign w:val="center"/>
          </w:tcPr>
          <w:p>
            <w:pPr>
              <w:widowControl/>
              <w:snapToGrid w:val="0"/>
              <w:spacing w:line="360" w:lineRule="exact"/>
              <w:jc w:val="center"/>
              <w:rPr>
                <w:rFonts w:ascii="宋体" w:hAnsi="宋体" w:cs="宋体"/>
                <w:kern w:val="0"/>
                <w:szCs w:val="21"/>
              </w:rPr>
            </w:pPr>
          </w:p>
        </w:tc>
        <w:tc>
          <w:tcPr>
            <w:tcW w:w="1117" w:type="dxa"/>
            <w:vAlign w:val="center"/>
          </w:tcPr>
          <w:p>
            <w:pPr>
              <w:widowControl/>
              <w:snapToGrid w:val="0"/>
              <w:spacing w:line="360" w:lineRule="exact"/>
              <w:jc w:val="center"/>
              <w:rPr>
                <w:rFonts w:ascii="宋体" w:hAnsi="宋体" w:cs="宋体"/>
                <w:kern w:val="0"/>
                <w:szCs w:val="21"/>
              </w:rPr>
            </w:pPr>
          </w:p>
        </w:tc>
        <w:tc>
          <w:tcPr>
            <w:tcW w:w="1799" w:type="dxa"/>
            <w:vAlign w:val="center"/>
          </w:tcPr>
          <w:p>
            <w:pPr>
              <w:widowControl/>
              <w:snapToGrid w:val="0"/>
              <w:spacing w:line="360" w:lineRule="exact"/>
              <w:jc w:val="center"/>
              <w:rPr>
                <w:rFonts w:ascii="宋体" w:hAnsi="宋体" w:cs="宋体"/>
                <w:kern w:val="0"/>
                <w:szCs w:val="21"/>
              </w:rPr>
            </w:pPr>
          </w:p>
        </w:tc>
        <w:tc>
          <w:tcPr>
            <w:tcW w:w="613" w:type="dxa"/>
            <w:vAlign w:val="center"/>
          </w:tcPr>
          <w:p>
            <w:pPr>
              <w:widowControl/>
              <w:snapToGrid w:val="0"/>
              <w:spacing w:line="360" w:lineRule="exact"/>
              <w:jc w:val="center"/>
              <w:rPr>
                <w:rFonts w:ascii="宋体" w:hAnsi="宋体" w:cs="宋体"/>
                <w:kern w:val="0"/>
                <w:szCs w:val="21"/>
              </w:rPr>
            </w:pPr>
          </w:p>
        </w:tc>
        <w:tc>
          <w:tcPr>
            <w:tcW w:w="618" w:type="dxa"/>
            <w:vAlign w:val="center"/>
          </w:tcPr>
          <w:p>
            <w:pPr>
              <w:widowControl/>
              <w:snapToGrid w:val="0"/>
              <w:spacing w:line="360" w:lineRule="exact"/>
              <w:jc w:val="center"/>
              <w:rPr>
                <w:rFonts w:ascii="宋体" w:hAnsi="宋体" w:cs="宋体"/>
                <w:kern w:val="0"/>
                <w:szCs w:val="21"/>
              </w:rPr>
            </w:pPr>
          </w:p>
        </w:tc>
        <w:tc>
          <w:tcPr>
            <w:tcW w:w="1013" w:type="dxa"/>
            <w:vAlign w:val="center"/>
          </w:tcPr>
          <w:p>
            <w:pPr>
              <w:widowControl/>
              <w:snapToGrid w:val="0"/>
              <w:spacing w:line="360" w:lineRule="exact"/>
              <w:jc w:val="center"/>
              <w:rPr>
                <w:rFonts w:ascii="宋体" w:hAnsi="宋体" w:cs="宋体"/>
                <w:kern w:val="0"/>
                <w:szCs w:val="21"/>
              </w:rPr>
            </w:pPr>
          </w:p>
        </w:tc>
        <w:tc>
          <w:tcPr>
            <w:tcW w:w="978" w:type="dxa"/>
            <w:vAlign w:val="center"/>
          </w:tcPr>
          <w:p>
            <w:pPr>
              <w:widowControl/>
              <w:snapToGrid w:val="0"/>
              <w:spacing w:line="3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31" w:type="dxa"/>
            <w:gridSpan w:val="7"/>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合     计</w:t>
            </w:r>
          </w:p>
        </w:tc>
        <w:tc>
          <w:tcPr>
            <w:tcW w:w="1013" w:type="dxa"/>
            <w:vAlign w:val="center"/>
          </w:tcPr>
          <w:p>
            <w:pPr>
              <w:widowControl/>
              <w:snapToGrid w:val="0"/>
              <w:spacing w:line="360" w:lineRule="exact"/>
              <w:jc w:val="center"/>
              <w:rPr>
                <w:rFonts w:ascii="宋体" w:hAnsi="宋体" w:cs="宋体"/>
                <w:kern w:val="0"/>
                <w:szCs w:val="21"/>
              </w:rPr>
            </w:pPr>
          </w:p>
        </w:tc>
        <w:tc>
          <w:tcPr>
            <w:tcW w:w="978" w:type="dxa"/>
            <w:vAlign w:val="center"/>
          </w:tcPr>
          <w:p>
            <w:pPr>
              <w:widowControl/>
              <w:snapToGrid w:val="0"/>
              <w:spacing w:line="360" w:lineRule="exact"/>
              <w:jc w:val="center"/>
              <w:rPr>
                <w:rFonts w:ascii="宋体" w:hAnsi="宋体" w:cs="宋体"/>
                <w:kern w:val="0"/>
                <w:szCs w:val="21"/>
              </w:rPr>
            </w:pPr>
          </w:p>
        </w:tc>
      </w:tr>
    </w:tbl>
    <w:p>
      <w:pPr>
        <w:widowControl/>
        <w:snapToGrid w:val="0"/>
        <w:spacing w:line="360" w:lineRule="auto"/>
        <w:rPr>
          <w:rFonts w:ascii="宋体" w:hAnsi="宋体" w:cs="宋体"/>
          <w:kern w:val="0"/>
          <w:szCs w:val="21"/>
        </w:rPr>
      </w:pPr>
    </w:p>
    <w:p>
      <w:pPr>
        <w:widowControl/>
        <w:snapToGrid w:val="0"/>
        <w:spacing w:line="360" w:lineRule="auto"/>
        <w:rPr>
          <w:rFonts w:ascii="宋体" w:hAnsi="宋体" w:cs="宋体"/>
          <w:kern w:val="0"/>
          <w:szCs w:val="21"/>
        </w:rPr>
      </w:pPr>
      <w:r>
        <w:rPr>
          <w:rFonts w:hint="eastAsia" w:ascii="宋体" w:hAnsi="宋体" w:cs="宋体"/>
          <w:kern w:val="0"/>
          <w:szCs w:val="21"/>
        </w:rPr>
        <w:t>供应商（公章）：</w:t>
      </w:r>
    </w:p>
    <w:p>
      <w:pPr>
        <w:snapToGrid w:val="0"/>
        <w:spacing w:line="360" w:lineRule="auto"/>
        <w:rPr>
          <w:rFonts w:ascii="宋体" w:hAnsi="宋体" w:cs="宋体"/>
          <w:szCs w:val="21"/>
        </w:rPr>
      </w:pPr>
      <w:r>
        <w:rPr>
          <w:rFonts w:hint="eastAsia" w:ascii="宋体" w:hAnsi="宋体" w:cs="宋体"/>
          <w:szCs w:val="21"/>
        </w:rPr>
        <w:t>法定代表人或代理人（签字或盖章）：</w:t>
      </w:r>
    </w:p>
    <w:p>
      <w:pPr>
        <w:snapToGrid w:val="0"/>
        <w:spacing w:line="360" w:lineRule="auto"/>
        <w:rPr>
          <w:rFonts w:ascii="宋体" w:hAnsi="宋体" w:cs="宋体"/>
          <w:b/>
          <w:bCs/>
          <w:szCs w:val="21"/>
        </w:rPr>
      </w:pPr>
      <w:r>
        <w:rPr>
          <w:rFonts w:hint="eastAsia" w:ascii="宋体" w:hAnsi="宋体" w:cs="宋体"/>
          <w:b/>
          <w:bCs/>
          <w:szCs w:val="21"/>
        </w:rPr>
        <w:t>表式参考，可根据项目情况自行调整</w:t>
      </w:r>
    </w:p>
    <w:p>
      <w:pPr>
        <w:rPr>
          <w:rFonts w:ascii="宋体" w:hAnsi="宋体" w:cs="宋体"/>
          <w:b/>
          <w:sz w:val="28"/>
          <w:szCs w:val="28"/>
        </w:rPr>
      </w:pPr>
    </w:p>
    <w:p>
      <w:pPr>
        <w:rPr>
          <w:rFonts w:ascii="宋体" w:hAnsi="宋体" w:cs="宋体"/>
          <w:kern w:val="0"/>
          <w:szCs w:val="21"/>
        </w:rPr>
      </w:pPr>
      <w:r>
        <w:rPr>
          <w:rFonts w:hint="eastAsia" w:ascii="宋体" w:hAnsi="宋体" w:cs="宋体"/>
          <w:kern w:val="0"/>
          <w:szCs w:val="21"/>
        </w:rPr>
        <w:br w:type="page"/>
      </w:r>
    </w:p>
    <w:p>
      <w:pPr>
        <w:pStyle w:val="6"/>
        <w:overflowPunct w:val="0"/>
        <w:spacing w:line="500" w:lineRule="exact"/>
        <w:ind w:firstLine="0"/>
        <w:rPr>
          <w:rFonts w:hAnsi="宋体" w:cs="宋体"/>
          <w:b/>
          <w:bCs/>
          <w:sz w:val="28"/>
          <w:szCs w:val="28"/>
        </w:rPr>
      </w:pPr>
      <w:r>
        <w:rPr>
          <w:rFonts w:hint="eastAsia" w:hAnsi="宋体" w:cs="宋体"/>
          <w:b/>
          <w:kern w:val="0"/>
          <w:sz w:val="21"/>
          <w:szCs w:val="21"/>
        </w:rPr>
        <w:t>附件6：质保及售后服务承诺书</w:t>
      </w:r>
    </w:p>
    <w:p>
      <w:pPr>
        <w:pStyle w:val="3"/>
        <w:tabs>
          <w:tab w:val="left" w:pos="432"/>
        </w:tabs>
        <w:spacing w:line="480" w:lineRule="exact"/>
        <w:rPr>
          <w:rFonts w:ascii="宋体" w:hAnsi="宋体" w:eastAsia="宋体" w:cs="宋体"/>
          <w:b/>
          <w:bCs/>
          <w:sz w:val="32"/>
          <w:szCs w:val="32"/>
        </w:rPr>
      </w:pPr>
    </w:p>
    <w:p>
      <w:pPr>
        <w:pStyle w:val="3"/>
        <w:tabs>
          <w:tab w:val="left" w:pos="432"/>
        </w:tabs>
        <w:spacing w:line="480" w:lineRule="exact"/>
        <w:rPr>
          <w:rFonts w:ascii="宋体" w:hAnsi="宋体" w:eastAsia="宋体" w:cs="宋体"/>
          <w:sz w:val="24"/>
        </w:rPr>
      </w:pPr>
      <w:r>
        <w:rPr>
          <w:rFonts w:hint="eastAsia" w:ascii="宋体" w:hAnsi="宋体" w:eastAsia="宋体" w:cs="宋体"/>
          <w:b/>
          <w:bCs/>
          <w:sz w:val="28"/>
          <w:szCs w:val="28"/>
        </w:rPr>
        <w:t>质保及售后服务承诺书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质保承诺如下：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b/>
          <w:sz w:val="28"/>
          <w:szCs w:val="28"/>
        </w:rPr>
      </w:pPr>
      <w:r>
        <w:rPr>
          <w:rFonts w:hint="eastAsia" w:ascii="宋体" w:hAnsi="宋体" w:cs="宋体"/>
          <w:b/>
          <w:kern w:val="0"/>
          <w:szCs w:val="21"/>
        </w:rPr>
        <w:t>附件7：偏离表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如无偏离，请在本页上写“无”，并附在响应文件中 。          </w:t>
      </w:r>
    </w:p>
    <w:p>
      <w:pPr>
        <w:ind w:firstLine="420" w:firstLineChars="200"/>
        <w:rPr>
          <w:rFonts w:ascii="宋体" w:hAnsi="宋体" w:cs="宋体"/>
          <w:szCs w:val="21"/>
        </w:rPr>
      </w:pPr>
      <w:r>
        <w:rPr>
          <w:rFonts w:hint="eastAsia" w:ascii="宋体" w:hAnsi="宋体" w:cs="宋体"/>
          <w:szCs w:val="21"/>
        </w:rPr>
        <w:t>项目编号：</w:t>
      </w:r>
    </w:p>
    <w:tbl>
      <w:tblPr>
        <w:tblStyle w:val="2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szCs w:val="21"/>
              </w:rPr>
            </w:pPr>
            <w:r>
              <w:rPr>
                <w:rFonts w:hint="eastAsia" w:ascii="宋体" w:hAnsi="宋体" w:cs="宋体"/>
                <w:szCs w:val="21"/>
              </w:rPr>
              <w:t>章节号</w:t>
            </w:r>
          </w:p>
        </w:tc>
        <w:tc>
          <w:tcPr>
            <w:tcW w:w="2132" w:type="dxa"/>
            <w:vAlign w:val="center"/>
          </w:tcPr>
          <w:p>
            <w:pPr>
              <w:jc w:val="center"/>
              <w:rPr>
                <w:rFonts w:ascii="宋体" w:hAnsi="宋体" w:cs="宋体"/>
                <w:szCs w:val="21"/>
              </w:rPr>
            </w:pPr>
            <w:r>
              <w:rPr>
                <w:rFonts w:hint="eastAsia" w:ascii="宋体" w:hAnsi="宋体" w:cs="宋体"/>
                <w:szCs w:val="21"/>
              </w:rPr>
              <w:t>供应商的偏离</w:t>
            </w:r>
          </w:p>
        </w:tc>
        <w:tc>
          <w:tcPr>
            <w:tcW w:w="3044" w:type="dxa"/>
            <w:vAlign w:val="center"/>
          </w:tcPr>
          <w:p>
            <w:pPr>
              <w:jc w:val="center"/>
              <w:rPr>
                <w:rFonts w:ascii="宋体" w:hAnsi="宋体" w:cs="宋体"/>
                <w:szCs w:val="21"/>
              </w:rPr>
            </w:pPr>
            <w:r>
              <w:rPr>
                <w:rFonts w:hint="eastAsia" w:ascii="宋体" w:hAnsi="宋体" w:cs="宋体"/>
                <w:szCs w:val="21"/>
              </w:rPr>
              <w:t>供应商偏离的理由</w:t>
            </w:r>
          </w:p>
        </w:tc>
        <w:tc>
          <w:tcPr>
            <w:tcW w:w="1440"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widowControl/>
        <w:snapToGrid w:val="0"/>
        <w:spacing w:line="360" w:lineRule="auto"/>
        <w:ind w:right="-308"/>
        <w:jc w:val="both"/>
        <w:rPr>
          <w:rFonts w:ascii="宋体" w:hAnsi="宋体" w:cs="宋体"/>
          <w:b/>
          <w:bCs/>
          <w:sz w:val="28"/>
          <w:szCs w:val="28"/>
        </w:rPr>
      </w:pPr>
    </w:p>
    <w:p>
      <w:pPr>
        <w:widowControl/>
        <w:snapToGrid w:val="0"/>
        <w:spacing w:line="360" w:lineRule="auto"/>
        <w:ind w:right="-308"/>
        <w:jc w:val="center"/>
        <w:rPr>
          <w:rFonts w:ascii="宋体" w:hAnsi="宋体" w:cs="宋体"/>
          <w:b/>
          <w:bCs/>
          <w:sz w:val="28"/>
          <w:szCs w:val="28"/>
        </w:rPr>
      </w:pPr>
      <w:r>
        <w:rPr>
          <w:rFonts w:hint="eastAsia" w:ascii="宋体" w:hAnsi="宋体" w:cs="宋体"/>
          <w:b/>
          <w:bCs/>
          <w:sz w:val="28"/>
          <w:szCs w:val="28"/>
        </w:rPr>
        <w:t>本询价通知书的最终解释权归常州市城投建设工程招标有限公司所有</w:t>
      </w:r>
    </w:p>
    <w:p>
      <w:pPr>
        <w:widowControl/>
        <w:snapToGrid w:val="0"/>
        <w:spacing w:line="360" w:lineRule="auto"/>
        <w:ind w:right="-308"/>
        <w:jc w:val="center"/>
        <w:rPr>
          <w:rFonts w:ascii="宋体" w:hAnsi="宋体" w:cs="宋体"/>
          <w:b/>
          <w:bCs/>
          <w:sz w:val="28"/>
          <w:szCs w:val="28"/>
        </w:rPr>
      </w:pPr>
      <w:r>
        <w:rPr>
          <w:rFonts w:hint="eastAsia" w:ascii="宋体" w:hAnsi="宋体" w:cs="宋体"/>
          <w:b/>
          <w:bCs/>
          <w:sz w:val="28"/>
          <w:szCs w:val="28"/>
        </w:rPr>
        <w:t>（全文完）</w:t>
      </w: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18</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18</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9"/>
      </w:rPr>
    </w:pPr>
    <w:r>
      <w:fldChar w:fldCharType="begin"/>
    </w:r>
    <w:r>
      <w:rPr>
        <w:rStyle w:val="59"/>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14697"/>
    <w:rsid w:val="00015726"/>
    <w:rsid w:val="00015A25"/>
    <w:rsid w:val="00021A28"/>
    <w:rsid w:val="000322C7"/>
    <w:rsid w:val="00036ABA"/>
    <w:rsid w:val="000400AF"/>
    <w:rsid w:val="000419E2"/>
    <w:rsid w:val="00042FA4"/>
    <w:rsid w:val="00046E7B"/>
    <w:rsid w:val="00052763"/>
    <w:rsid w:val="00055FB6"/>
    <w:rsid w:val="0005783A"/>
    <w:rsid w:val="0006059F"/>
    <w:rsid w:val="00074403"/>
    <w:rsid w:val="00075542"/>
    <w:rsid w:val="000773BD"/>
    <w:rsid w:val="000817FB"/>
    <w:rsid w:val="00081DE7"/>
    <w:rsid w:val="00082A56"/>
    <w:rsid w:val="00083D5E"/>
    <w:rsid w:val="0008635D"/>
    <w:rsid w:val="00091073"/>
    <w:rsid w:val="00094B97"/>
    <w:rsid w:val="000952EA"/>
    <w:rsid w:val="00096808"/>
    <w:rsid w:val="0009768A"/>
    <w:rsid w:val="000A46C6"/>
    <w:rsid w:val="000A641F"/>
    <w:rsid w:val="000A703E"/>
    <w:rsid w:val="000A7812"/>
    <w:rsid w:val="000A7C1A"/>
    <w:rsid w:val="000B0984"/>
    <w:rsid w:val="000B3498"/>
    <w:rsid w:val="000C32B2"/>
    <w:rsid w:val="000C42E4"/>
    <w:rsid w:val="000C5105"/>
    <w:rsid w:val="000C7FBE"/>
    <w:rsid w:val="000D1155"/>
    <w:rsid w:val="000D2205"/>
    <w:rsid w:val="000D25CF"/>
    <w:rsid w:val="000D284F"/>
    <w:rsid w:val="000D3930"/>
    <w:rsid w:val="000D46DC"/>
    <w:rsid w:val="000D6F17"/>
    <w:rsid w:val="000D7DF9"/>
    <w:rsid w:val="000E465A"/>
    <w:rsid w:val="000E648F"/>
    <w:rsid w:val="000F241A"/>
    <w:rsid w:val="000F75F5"/>
    <w:rsid w:val="001260CA"/>
    <w:rsid w:val="0013336B"/>
    <w:rsid w:val="0014201D"/>
    <w:rsid w:val="001618E0"/>
    <w:rsid w:val="00165C9C"/>
    <w:rsid w:val="00166978"/>
    <w:rsid w:val="001673E7"/>
    <w:rsid w:val="00167974"/>
    <w:rsid w:val="00167E08"/>
    <w:rsid w:val="00171A88"/>
    <w:rsid w:val="00172903"/>
    <w:rsid w:val="001741AE"/>
    <w:rsid w:val="001768A7"/>
    <w:rsid w:val="001818C1"/>
    <w:rsid w:val="00181D21"/>
    <w:rsid w:val="00184DD0"/>
    <w:rsid w:val="00193AB1"/>
    <w:rsid w:val="00193E7A"/>
    <w:rsid w:val="001A79B9"/>
    <w:rsid w:val="001B0E12"/>
    <w:rsid w:val="001B19F7"/>
    <w:rsid w:val="001B3BCD"/>
    <w:rsid w:val="001B45DE"/>
    <w:rsid w:val="001B777A"/>
    <w:rsid w:val="001C039D"/>
    <w:rsid w:val="001C13D0"/>
    <w:rsid w:val="001C2C2D"/>
    <w:rsid w:val="001C3A68"/>
    <w:rsid w:val="001C5925"/>
    <w:rsid w:val="001C62F5"/>
    <w:rsid w:val="001C764D"/>
    <w:rsid w:val="001D4303"/>
    <w:rsid w:val="001D56BC"/>
    <w:rsid w:val="001D7A92"/>
    <w:rsid w:val="001E0507"/>
    <w:rsid w:val="001E0EEA"/>
    <w:rsid w:val="001E284B"/>
    <w:rsid w:val="001F2762"/>
    <w:rsid w:val="001F3D80"/>
    <w:rsid w:val="001F4AA2"/>
    <w:rsid w:val="00202527"/>
    <w:rsid w:val="00204044"/>
    <w:rsid w:val="002051CA"/>
    <w:rsid w:val="00206501"/>
    <w:rsid w:val="00207310"/>
    <w:rsid w:val="00214A06"/>
    <w:rsid w:val="002167F7"/>
    <w:rsid w:val="00217667"/>
    <w:rsid w:val="00220B74"/>
    <w:rsid w:val="00224761"/>
    <w:rsid w:val="00224C20"/>
    <w:rsid w:val="00227AF2"/>
    <w:rsid w:val="00231317"/>
    <w:rsid w:val="0023309A"/>
    <w:rsid w:val="0024132F"/>
    <w:rsid w:val="00244306"/>
    <w:rsid w:val="002473E2"/>
    <w:rsid w:val="00254B97"/>
    <w:rsid w:val="00263294"/>
    <w:rsid w:val="00266CFA"/>
    <w:rsid w:val="002722D7"/>
    <w:rsid w:val="0028101A"/>
    <w:rsid w:val="0028762C"/>
    <w:rsid w:val="00291CF2"/>
    <w:rsid w:val="00296AE9"/>
    <w:rsid w:val="002A0E9B"/>
    <w:rsid w:val="002A22F9"/>
    <w:rsid w:val="002A6B32"/>
    <w:rsid w:val="002B63EC"/>
    <w:rsid w:val="002C3F8C"/>
    <w:rsid w:val="002C484D"/>
    <w:rsid w:val="002C691D"/>
    <w:rsid w:val="002D1E5D"/>
    <w:rsid w:val="002E3FE8"/>
    <w:rsid w:val="002E55E5"/>
    <w:rsid w:val="002E5FC2"/>
    <w:rsid w:val="002F7FC8"/>
    <w:rsid w:val="00312764"/>
    <w:rsid w:val="00317B16"/>
    <w:rsid w:val="00317BA9"/>
    <w:rsid w:val="003221C2"/>
    <w:rsid w:val="00322A6D"/>
    <w:rsid w:val="00324022"/>
    <w:rsid w:val="003317F3"/>
    <w:rsid w:val="00334015"/>
    <w:rsid w:val="00335D65"/>
    <w:rsid w:val="00337404"/>
    <w:rsid w:val="00337963"/>
    <w:rsid w:val="00341E0E"/>
    <w:rsid w:val="00345DA0"/>
    <w:rsid w:val="00347E49"/>
    <w:rsid w:val="003513FF"/>
    <w:rsid w:val="00390C93"/>
    <w:rsid w:val="0039228B"/>
    <w:rsid w:val="003929DA"/>
    <w:rsid w:val="003943D6"/>
    <w:rsid w:val="003A745D"/>
    <w:rsid w:val="003A7492"/>
    <w:rsid w:val="003B0DFB"/>
    <w:rsid w:val="003B18FB"/>
    <w:rsid w:val="003B4E0D"/>
    <w:rsid w:val="003B6B85"/>
    <w:rsid w:val="003D1F05"/>
    <w:rsid w:val="003F0865"/>
    <w:rsid w:val="0040022F"/>
    <w:rsid w:val="00400C99"/>
    <w:rsid w:val="004037B8"/>
    <w:rsid w:val="0040561B"/>
    <w:rsid w:val="0041072C"/>
    <w:rsid w:val="0041101E"/>
    <w:rsid w:val="00412BDF"/>
    <w:rsid w:val="00415602"/>
    <w:rsid w:val="004158E4"/>
    <w:rsid w:val="0042044F"/>
    <w:rsid w:val="00424FD7"/>
    <w:rsid w:val="00427FA8"/>
    <w:rsid w:val="00433AB6"/>
    <w:rsid w:val="00435BD9"/>
    <w:rsid w:val="00437697"/>
    <w:rsid w:val="00440DDB"/>
    <w:rsid w:val="00440FA5"/>
    <w:rsid w:val="0044448A"/>
    <w:rsid w:val="00444BFD"/>
    <w:rsid w:val="00451792"/>
    <w:rsid w:val="004520B1"/>
    <w:rsid w:val="00460611"/>
    <w:rsid w:val="00465E08"/>
    <w:rsid w:val="0047598B"/>
    <w:rsid w:val="00480E53"/>
    <w:rsid w:val="004818D0"/>
    <w:rsid w:val="00490E88"/>
    <w:rsid w:val="004A481D"/>
    <w:rsid w:val="004A58E4"/>
    <w:rsid w:val="004A5FEF"/>
    <w:rsid w:val="004A70AD"/>
    <w:rsid w:val="004A7C9A"/>
    <w:rsid w:val="004B0B0D"/>
    <w:rsid w:val="004B3356"/>
    <w:rsid w:val="004B44A4"/>
    <w:rsid w:val="004B4F00"/>
    <w:rsid w:val="004B756D"/>
    <w:rsid w:val="004C5F5E"/>
    <w:rsid w:val="004D475D"/>
    <w:rsid w:val="004E1034"/>
    <w:rsid w:val="004F006A"/>
    <w:rsid w:val="004F00D9"/>
    <w:rsid w:val="004F27A1"/>
    <w:rsid w:val="004F369C"/>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81297"/>
    <w:rsid w:val="005839BB"/>
    <w:rsid w:val="005848CA"/>
    <w:rsid w:val="005866EE"/>
    <w:rsid w:val="00587860"/>
    <w:rsid w:val="005915E8"/>
    <w:rsid w:val="0059382A"/>
    <w:rsid w:val="00593FC3"/>
    <w:rsid w:val="005954A9"/>
    <w:rsid w:val="005A4DE4"/>
    <w:rsid w:val="005A5B31"/>
    <w:rsid w:val="005B1EC0"/>
    <w:rsid w:val="005B6228"/>
    <w:rsid w:val="005C1EFF"/>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351"/>
    <w:rsid w:val="00651A01"/>
    <w:rsid w:val="00654932"/>
    <w:rsid w:val="00657A60"/>
    <w:rsid w:val="00662F1B"/>
    <w:rsid w:val="00662F86"/>
    <w:rsid w:val="006763C4"/>
    <w:rsid w:val="00677300"/>
    <w:rsid w:val="00682E83"/>
    <w:rsid w:val="0069184F"/>
    <w:rsid w:val="00692769"/>
    <w:rsid w:val="006B19D6"/>
    <w:rsid w:val="006B3C52"/>
    <w:rsid w:val="006B4AE3"/>
    <w:rsid w:val="006B535B"/>
    <w:rsid w:val="006B70BC"/>
    <w:rsid w:val="006C306D"/>
    <w:rsid w:val="006C497B"/>
    <w:rsid w:val="006C4B8B"/>
    <w:rsid w:val="006C5A62"/>
    <w:rsid w:val="006C7153"/>
    <w:rsid w:val="006D65E4"/>
    <w:rsid w:val="006E612B"/>
    <w:rsid w:val="006E7446"/>
    <w:rsid w:val="006F00A7"/>
    <w:rsid w:val="006F3ECF"/>
    <w:rsid w:val="006F5A14"/>
    <w:rsid w:val="00703916"/>
    <w:rsid w:val="00704CFF"/>
    <w:rsid w:val="007079B2"/>
    <w:rsid w:val="007100E8"/>
    <w:rsid w:val="0071123F"/>
    <w:rsid w:val="00713654"/>
    <w:rsid w:val="0072015B"/>
    <w:rsid w:val="00720EFC"/>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3E7C"/>
    <w:rsid w:val="007860B7"/>
    <w:rsid w:val="00790294"/>
    <w:rsid w:val="007912D8"/>
    <w:rsid w:val="0079178C"/>
    <w:rsid w:val="00792316"/>
    <w:rsid w:val="0079462D"/>
    <w:rsid w:val="007955D0"/>
    <w:rsid w:val="007A2C2F"/>
    <w:rsid w:val="007A34BD"/>
    <w:rsid w:val="007A6DDA"/>
    <w:rsid w:val="007B4F3B"/>
    <w:rsid w:val="007B59D1"/>
    <w:rsid w:val="007C20D6"/>
    <w:rsid w:val="007C3331"/>
    <w:rsid w:val="007C5AF7"/>
    <w:rsid w:val="007C6A33"/>
    <w:rsid w:val="007D5917"/>
    <w:rsid w:val="007E0F98"/>
    <w:rsid w:val="007E1A68"/>
    <w:rsid w:val="007E73CA"/>
    <w:rsid w:val="007F0176"/>
    <w:rsid w:val="007F3FAB"/>
    <w:rsid w:val="00806EC0"/>
    <w:rsid w:val="008146EE"/>
    <w:rsid w:val="00815DF9"/>
    <w:rsid w:val="008177C8"/>
    <w:rsid w:val="0082199C"/>
    <w:rsid w:val="008335B2"/>
    <w:rsid w:val="008364DB"/>
    <w:rsid w:val="00842EFC"/>
    <w:rsid w:val="00844560"/>
    <w:rsid w:val="008459D0"/>
    <w:rsid w:val="00851E04"/>
    <w:rsid w:val="00853BCA"/>
    <w:rsid w:val="00853FCA"/>
    <w:rsid w:val="008605C4"/>
    <w:rsid w:val="00862B68"/>
    <w:rsid w:val="00870FC6"/>
    <w:rsid w:val="0088040D"/>
    <w:rsid w:val="00882A19"/>
    <w:rsid w:val="00882C01"/>
    <w:rsid w:val="00892B56"/>
    <w:rsid w:val="00896F40"/>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4357"/>
    <w:rsid w:val="008F7A7B"/>
    <w:rsid w:val="00904884"/>
    <w:rsid w:val="009060AB"/>
    <w:rsid w:val="00915016"/>
    <w:rsid w:val="00917819"/>
    <w:rsid w:val="00921C13"/>
    <w:rsid w:val="009233B6"/>
    <w:rsid w:val="00924B7C"/>
    <w:rsid w:val="009275A0"/>
    <w:rsid w:val="0093070E"/>
    <w:rsid w:val="00934CB5"/>
    <w:rsid w:val="009432A0"/>
    <w:rsid w:val="00943B14"/>
    <w:rsid w:val="00952239"/>
    <w:rsid w:val="00954444"/>
    <w:rsid w:val="009602D5"/>
    <w:rsid w:val="0097387C"/>
    <w:rsid w:val="00974006"/>
    <w:rsid w:val="009847A3"/>
    <w:rsid w:val="009917D9"/>
    <w:rsid w:val="009943C5"/>
    <w:rsid w:val="009960A6"/>
    <w:rsid w:val="009A15E2"/>
    <w:rsid w:val="009A1A5F"/>
    <w:rsid w:val="009A45CF"/>
    <w:rsid w:val="009A7165"/>
    <w:rsid w:val="009B1E2B"/>
    <w:rsid w:val="009B5460"/>
    <w:rsid w:val="009B7AC1"/>
    <w:rsid w:val="009C04FF"/>
    <w:rsid w:val="009C0FA2"/>
    <w:rsid w:val="009D247D"/>
    <w:rsid w:val="009D7C28"/>
    <w:rsid w:val="009E32E4"/>
    <w:rsid w:val="009F501D"/>
    <w:rsid w:val="00A01739"/>
    <w:rsid w:val="00A02F1E"/>
    <w:rsid w:val="00A037BB"/>
    <w:rsid w:val="00A051E1"/>
    <w:rsid w:val="00A054A4"/>
    <w:rsid w:val="00A06BEB"/>
    <w:rsid w:val="00A1398D"/>
    <w:rsid w:val="00A13BE0"/>
    <w:rsid w:val="00A154FA"/>
    <w:rsid w:val="00A177EA"/>
    <w:rsid w:val="00A27DD8"/>
    <w:rsid w:val="00A3325A"/>
    <w:rsid w:val="00A371CF"/>
    <w:rsid w:val="00A4015B"/>
    <w:rsid w:val="00A477E5"/>
    <w:rsid w:val="00A47923"/>
    <w:rsid w:val="00A51AED"/>
    <w:rsid w:val="00A61053"/>
    <w:rsid w:val="00A61C0E"/>
    <w:rsid w:val="00A6725B"/>
    <w:rsid w:val="00A71AE2"/>
    <w:rsid w:val="00A82063"/>
    <w:rsid w:val="00A87443"/>
    <w:rsid w:val="00A90CA0"/>
    <w:rsid w:val="00A973C7"/>
    <w:rsid w:val="00AA048E"/>
    <w:rsid w:val="00AA3097"/>
    <w:rsid w:val="00AA42D2"/>
    <w:rsid w:val="00AA6993"/>
    <w:rsid w:val="00AB4A29"/>
    <w:rsid w:val="00AB4CD8"/>
    <w:rsid w:val="00AC461D"/>
    <w:rsid w:val="00AC4E0E"/>
    <w:rsid w:val="00AD4C39"/>
    <w:rsid w:val="00AD78AF"/>
    <w:rsid w:val="00AE33A9"/>
    <w:rsid w:val="00AE68FB"/>
    <w:rsid w:val="00AE74D3"/>
    <w:rsid w:val="00AF2C0A"/>
    <w:rsid w:val="00AF3988"/>
    <w:rsid w:val="00AF3F63"/>
    <w:rsid w:val="00AF6F60"/>
    <w:rsid w:val="00B107F9"/>
    <w:rsid w:val="00B10E77"/>
    <w:rsid w:val="00B122D0"/>
    <w:rsid w:val="00B123C7"/>
    <w:rsid w:val="00B13E27"/>
    <w:rsid w:val="00B144D2"/>
    <w:rsid w:val="00B16CBB"/>
    <w:rsid w:val="00B2233D"/>
    <w:rsid w:val="00B26522"/>
    <w:rsid w:val="00B268EA"/>
    <w:rsid w:val="00B30D45"/>
    <w:rsid w:val="00B33CAB"/>
    <w:rsid w:val="00B3570D"/>
    <w:rsid w:val="00B35EFF"/>
    <w:rsid w:val="00B41993"/>
    <w:rsid w:val="00B50FA0"/>
    <w:rsid w:val="00B5677F"/>
    <w:rsid w:val="00B601B1"/>
    <w:rsid w:val="00B63A6E"/>
    <w:rsid w:val="00B702DE"/>
    <w:rsid w:val="00B71B78"/>
    <w:rsid w:val="00B743B4"/>
    <w:rsid w:val="00B7498A"/>
    <w:rsid w:val="00B82131"/>
    <w:rsid w:val="00B84568"/>
    <w:rsid w:val="00B849AF"/>
    <w:rsid w:val="00B84D9D"/>
    <w:rsid w:val="00B9249E"/>
    <w:rsid w:val="00B96A5F"/>
    <w:rsid w:val="00B96AF0"/>
    <w:rsid w:val="00BA404F"/>
    <w:rsid w:val="00BA407B"/>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4527"/>
    <w:rsid w:val="00C05C45"/>
    <w:rsid w:val="00C10145"/>
    <w:rsid w:val="00C10DC3"/>
    <w:rsid w:val="00C12F94"/>
    <w:rsid w:val="00C151C2"/>
    <w:rsid w:val="00C16F5B"/>
    <w:rsid w:val="00C179AF"/>
    <w:rsid w:val="00C208FC"/>
    <w:rsid w:val="00C22E62"/>
    <w:rsid w:val="00C3105D"/>
    <w:rsid w:val="00C31576"/>
    <w:rsid w:val="00C31D2F"/>
    <w:rsid w:val="00C40DA3"/>
    <w:rsid w:val="00C42121"/>
    <w:rsid w:val="00C42B9C"/>
    <w:rsid w:val="00C448C8"/>
    <w:rsid w:val="00C45FEA"/>
    <w:rsid w:val="00C528EB"/>
    <w:rsid w:val="00C6050B"/>
    <w:rsid w:val="00C609D5"/>
    <w:rsid w:val="00C62196"/>
    <w:rsid w:val="00C63EB2"/>
    <w:rsid w:val="00C6568B"/>
    <w:rsid w:val="00C6597B"/>
    <w:rsid w:val="00C67AE3"/>
    <w:rsid w:val="00C725F4"/>
    <w:rsid w:val="00C74191"/>
    <w:rsid w:val="00C748E6"/>
    <w:rsid w:val="00C75A82"/>
    <w:rsid w:val="00C772FE"/>
    <w:rsid w:val="00C83DDA"/>
    <w:rsid w:val="00C87F49"/>
    <w:rsid w:val="00C9009E"/>
    <w:rsid w:val="00C957F6"/>
    <w:rsid w:val="00CA2B00"/>
    <w:rsid w:val="00CA2EF7"/>
    <w:rsid w:val="00CA6830"/>
    <w:rsid w:val="00CB09C0"/>
    <w:rsid w:val="00CB2444"/>
    <w:rsid w:val="00CB4E15"/>
    <w:rsid w:val="00CB75C0"/>
    <w:rsid w:val="00CB7623"/>
    <w:rsid w:val="00CC5DB3"/>
    <w:rsid w:val="00CC67E5"/>
    <w:rsid w:val="00CC786F"/>
    <w:rsid w:val="00CD0EF7"/>
    <w:rsid w:val="00CD368E"/>
    <w:rsid w:val="00CD4227"/>
    <w:rsid w:val="00CD503F"/>
    <w:rsid w:val="00CE2ACF"/>
    <w:rsid w:val="00CE66CB"/>
    <w:rsid w:val="00CF07F3"/>
    <w:rsid w:val="00CF152A"/>
    <w:rsid w:val="00CF2016"/>
    <w:rsid w:val="00D00172"/>
    <w:rsid w:val="00D04175"/>
    <w:rsid w:val="00D06165"/>
    <w:rsid w:val="00D11C4B"/>
    <w:rsid w:val="00D1202C"/>
    <w:rsid w:val="00D14229"/>
    <w:rsid w:val="00D155D6"/>
    <w:rsid w:val="00D17FBB"/>
    <w:rsid w:val="00D223F3"/>
    <w:rsid w:val="00D22570"/>
    <w:rsid w:val="00D22867"/>
    <w:rsid w:val="00D25A0F"/>
    <w:rsid w:val="00D271E5"/>
    <w:rsid w:val="00D30F41"/>
    <w:rsid w:val="00D34464"/>
    <w:rsid w:val="00D37EC7"/>
    <w:rsid w:val="00D426E3"/>
    <w:rsid w:val="00D545BC"/>
    <w:rsid w:val="00D55837"/>
    <w:rsid w:val="00D640FC"/>
    <w:rsid w:val="00D73F8E"/>
    <w:rsid w:val="00D76923"/>
    <w:rsid w:val="00D76E8A"/>
    <w:rsid w:val="00D9135B"/>
    <w:rsid w:val="00D91E0F"/>
    <w:rsid w:val="00D92601"/>
    <w:rsid w:val="00D944A9"/>
    <w:rsid w:val="00DA01D5"/>
    <w:rsid w:val="00DA4BB2"/>
    <w:rsid w:val="00DA5D19"/>
    <w:rsid w:val="00DA6612"/>
    <w:rsid w:val="00DA69EE"/>
    <w:rsid w:val="00DA6C70"/>
    <w:rsid w:val="00DB25AC"/>
    <w:rsid w:val="00DC17C1"/>
    <w:rsid w:val="00DC25EA"/>
    <w:rsid w:val="00DD1129"/>
    <w:rsid w:val="00DD3DF3"/>
    <w:rsid w:val="00DD4DAB"/>
    <w:rsid w:val="00DE0A05"/>
    <w:rsid w:val="00DE2416"/>
    <w:rsid w:val="00DE31FB"/>
    <w:rsid w:val="00DE77B2"/>
    <w:rsid w:val="00DF0A2C"/>
    <w:rsid w:val="00DF672F"/>
    <w:rsid w:val="00DF7395"/>
    <w:rsid w:val="00DF7920"/>
    <w:rsid w:val="00E04820"/>
    <w:rsid w:val="00E06EE4"/>
    <w:rsid w:val="00E11CCE"/>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40BA"/>
    <w:rsid w:val="00EA6CE8"/>
    <w:rsid w:val="00EB0623"/>
    <w:rsid w:val="00EB34D8"/>
    <w:rsid w:val="00EB3EB4"/>
    <w:rsid w:val="00EB6BF3"/>
    <w:rsid w:val="00EC5DCD"/>
    <w:rsid w:val="00EC77DA"/>
    <w:rsid w:val="00EE1236"/>
    <w:rsid w:val="00EE675E"/>
    <w:rsid w:val="00EF2DD4"/>
    <w:rsid w:val="00F0073B"/>
    <w:rsid w:val="00F03680"/>
    <w:rsid w:val="00F04BAE"/>
    <w:rsid w:val="00F11F22"/>
    <w:rsid w:val="00F12E50"/>
    <w:rsid w:val="00F1368D"/>
    <w:rsid w:val="00F14787"/>
    <w:rsid w:val="00F16D31"/>
    <w:rsid w:val="00F2163E"/>
    <w:rsid w:val="00F221EC"/>
    <w:rsid w:val="00F23CE0"/>
    <w:rsid w:val="00F33B28"/>
    <w:rsid w:val="00F34686"/>
    <w:rsid w:val="00F35D01"/>
    <w:rsid w:val="00F371B5"/>
    <w:rsid w:val="00F411A2"/>
    <w:rsid w:val="00F41475"/>
    <w:rsid w:val="00F41619"/>
    <w:rsid w:val="00F41705"/>
    <w:rsid w:val="00F46C6F"/>
    <w:rsid w:val="00F519A8"/>
    <w:rsid w:val="00F52542"/>
    <w:rsid w:val="00F56385"/>
    <w:rsid w:val="00F61B51"/>
    <w:rsid w:val="00F6671F"/>
    <w:rsid w:val="00F73EC9"/>
    <w:rsid w:val="00F8196F"/>
    <w:rsid w:val="00F95C2E"/>
    <w:rsid w:val="00F970D1"/>
    <w:rsid w:val="00FA3899"/>
    <w:rsid w:val="00FA4A17"/>
    <w:rsid w:val="00FA604B"/>
    <w:rsid w:val="00FA774D"/>
    <w:rsid w:val="00FB337D"/>
    <w:rsid w:val="00FC4579"/>
    <w:rsid w:val="00FC762E"/>
    <w:rsid w:val="00FD34D5"/>
    <w:rsid w:val="00FD3CDA"/>
    <w:rsid w:val="00FE1F63"/>
    <w:rsid w:val="00FE2F26"/>
    <w:rsid w:val="00FE3BEB"/>
    <w:rsid w:val="00FE3C18"/>
    <w:rsid w:val="00FE4D18"/>
    <w:rsid w:val="00FF1023"/>
    <w:rsid w:val="00FF103B"/>
    <w:rsid w:val="00FF2BFA"/>
    <w:rsid w:val="00FF3864"/>
    <w:rsid w:val="00FF4956"/>
    <w:rsid w:val="00FF5702"/>
    <w:rsid w:val="014B7F71"/>
    <w:rsid w:val="0158575D"/>
    <w:rsid w:val="0252347A"/>
    <w:rsid w:val="03D713CA"/>
    <w:rsid w:val="03F06403"/>
    <w:rsid w:val="051477C0"/>
    <w:rsid w:val="075C6CFF"/>
    <w:rsid w:val="07824F6A"/>
    <w:rsid w:val="09B308BC"/>
    <w:rsid w:val="0B00187B"/>
    <w:rsid w:val="0B5C1EEC"/>
    <w:rsid w:val="0B8D2B18"/>
    <w:rsid w:val="0CEC3869"/>
    <w:rsid w:val="0CFB0213"/>
    <w:rsid w:val="0EF11E84"/>
    <w:rsid w:val="0F1961FF"/>
    <w:rsid w:val="10074400"/>
    <w:rsid w:val="10984540"/>
    <w:rsid w:val="11E923CA"/>
    <w:rsid w:val="129760EE"/>
    <w:rsid w:val="13B727C4"/>
    <w:rsid w:val="164F25E9"/>
    <w:rsid w:val="17DB2C0E"/>
    <w:rsid w:val="195E116A"/>
    <w:rsid w:val="1D673FED"/>
    <w:rsid w:val="1D8C74E8"/>
    <w:rsid w:val="1EB57EDB"/>
    <w:rsid w:val="1F961BB7"/>
    <w:rsid w:val="21494AF3"/>
    <w:rsid w:val="21EF58F8"/>
    <w:rsid w:val="23422376"/>
    <w:rsid w:val="244A7AB9"/>
    <w:rsid w:val="255C6D0E"/>
    <w:rsid w:val="259526DD"/>
    <w:rsid w:val="2899699D"/>
    <w:rsid w:val="28CB75D1"/>
    <w:rsid w:val="28EC6F43"/>
    <w:rsid w:val="295C6E2D"/>
    <w:rsid w:val="2AFB5549"/>
    <w:rsid w:val="2C8514E3"/>
    <w:rsid w:val="2CB87D56"/>
    <w:rsid w:val="2DEE2DD7"/>
    <w:rsid w:val="2F197DC4"/>
    <w:rsid w:val="2F647CDC"/>
    <w:rsid w:val="311B6D9D"/>
    <w:rsid w:val="34F527AC"/>
    <w:rsid w:val="35322714"/>
    <w:rsid w:val="3578536D"/>
    <w:rsid w:val="35C443F0"/>
    <w:rsid w:val="35F76E1E"/>
    <w:rsid w:val="394F4046"/>
    <w:rsid w:val="3A2E73DC"/>
    <w:rsid w:val="3B45740C"/>
    <w:rsid w:val="3ECF5E37"/>
    <w:rsid w:val="3FF25916"/>
    <w:rsid w:val="404F2310"/>
    <w:rsid w:val="40696FCE"/>
    <w:rsid w:val="40A61D15"/>
    <w:rsid w:val="42DF0A26"/>
    <w:rsid w:val="462621B0"/>
    <w:rsid w:val="46887D07"/>
    <w:rsid w:val="4840460A"/>
    <w:rsid w:val="49BC2C3E"/>
    <w:rsid w:val="4BC14C0A"/>
    <w:rsid w:val="4CD742C0"/>
    <w:rsid w:val="4DD419C3"/>
    <w:rsid w:val="4F402341"/>
    <w:rsid w:val="4F430439"/>
    <w:rsid w:val="517D13CC"/>
    <w:rsid w:val="52701579"/>
    <w:rsid w:val="52F9248A"/>
    <w:rsid w:val="5558709C"/>
    <w:rsid w:val="561E348E"/>
    <w:rsid w:val="566C6184"/>
    <w:rsid w:val="57740500"/>
    <w:rsid w:val="57751B47"/>
    <w:rsid w:val="584A7726"/>
    <w:rsid w:val="597B5EEE"/>
    <w:rsid w:val="59857597"/>
    <w:rsid w:val="5B085339"/>
    <w:rsid w:val="5C14408E"/>
    <w:rsid w:val="5E8919FE"/>
    <w:rsid w:val="6139718E"/>
    <w:rsid w:val="64AC12EC"/>
    <w:rsid w:val="651A43A3"/>
    <w:rsid w:val="658A6427"/>
    <w:rsid w:val="6773455D"/>
    <w:rsid w:val="691A385D"/>
    <w:rsid w:val="693E7DB4"/>
    <w:rsid w:val="69A63917"/>
    <w:rsid w:val="6A405C4B"/>
    <w:rsid w:val="6ACE1DF9"/>
    <w:rsid w:val="6B393020"/>
    <w:rsid w:val="6E7F042B"/>
    <w:rsid w:val="6E943FED"/>
    <w:rsid w:val="752D11BC"/>
    <w:rsid w:val="756141E1"/>
    <w:rsid w:val="76275463"/>
    <w:rsid w:val="77466F96"/>
    <w:rsid w:val="784F47ED"/>
    <w:rsid w:val="7B997EC7"/>
    <w:rsid w:val="7BAF7310"/>
    <w:rsid w:val="7DA1755F"/>
    <w:rsid w:val="7F0738F8"/>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33"/>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4">
    <w:name w:val="heading 2"/>
    <w:basedOn w:val="1"/>
    <w:next w:val="1"/>
    <w:link w:val="34"/>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35"/>
    <w:qFormat/>
    <w:uiPriority w:val="0"/>
    <w:pPr>
      <w:keepNext/>
      <w:keepLines/>
      <w:spacing w:before="260" w:after="260" w:line="415" w:lineRule="auto"/>
      <w:outlineLvl w:val="2"/>
    </w:pPr>
    <w:rPr>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0"/>
    <w:qFormat/>
    <w:uiPriority w:val="0"/>
    <w:pPr>
      <w:spacing w:after="120"/>
    </w:pPr>
    <w:rPr>
      <w:szCs w:val="24"/>
    </w:rPr>
  </w:style>
  <w:style w:type="paragraph" w:styleId="6">
    <w:name w:val="Normal Indent"/>
    <w:basedOn w:val="1"/>
    <w:next w:val="1"/>
    <w:link w:val="38"/>
    <w:qFormat/>
    <w:uiPriority w:val="0"/>
    <w:pPr>
      <w:autoSpaceDE w:val="0"/>
      <w:autoSpaceDN w:val="0"/>
      <w:adjustRightInd w:val="0"/>
      <w:ind w:firstLine="420"/>
    </w:pPr>
    <w:rPr>
      <w:rFonts w:ascii="宋体"/>
      <w:sz w:val="24"/>
    </w:rPr>
  </w:style>
  <w:style w:type="paragraph" w:styleId="7">
    <w:name w:val="Document Map"/>
    <w:basedOn w:val="1"/>
    <w:link w:val="39"/>
    <w:unhideWhenUsed/>
    <w:qFormat/>
    <w:uiPriority w:val="99"/>
    <w:rPr>
      <w:rFonts w:ascii="宋体" w:hAnsiTheme="minorHAnsi" w:cstheme="minorBidi"/>
      <w:sz w:val="18"/>
      <w:szCs w:val="18"/>
    </w:rPr>
  </w:style>
  <w:style w:type="paragraph" w:styleId="8">
    <w:name w:val="annotation text"/>
    <w:basedOn w:val="1"/>
    <w:link w:val="36"/>
    <w:unhideWhenUsed/>
    <w:qFormat/>
    <w:uiPriority w:val="0"/>
    <w:pPr>
      <w:jc w:val="left"/>
    </w:pPr>
  </w:style>
  <w:style w:type="paragraph" w:styleId="9">
    <w:name w:val="Body Text Indent"/>
    <w:next w:val="1"/>
    <w:link w:val="41"/>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2"/>
    <w:qFormat/>
    <w:uiPriority w:val="0"/>
    <w:rPr>
      <w:rFonts w:ascii="宋体" w:hAnsi="宋体" w:eastAsiaTheme="minorEastAsia" w:cstheme="minorBidi"/>
      <w:sz w:val="26"/>
      <w:szCs w:val="22"/>
    </w:rPr>
  </w:style>
  <w:style w:type="paragraph" w:styleId="12">
    <w:name w:val="Date"/>
    <w:next w:val="1"/>
    <w:link w:val="43"/>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4"/>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5"/>
    <w:unhideWhenUsed/>
    <w:qFormat/>
    <w:uiPriority w:val="0"/>
    <w:rPr>
      <w:rFonts w:asciiTheme="minorHAnsi" w:hAnsiTheme="minorHAnsi" w:cstheme="minorBidi"/>
      <w:sz w:val="18"/>
      <w:szCs w:val="18"/>
    </w:rPr>
  </w:style>
  <w:style w:type="paragraph" w:styleId="15">
    <w:name w:val="footer"/>
    <w:basedOn w:val="1"/>
    <w:link w:val="46"/>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7"/>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8"/>
    <w:next w:val="8"/>
    <w:link w:val="37"/>
    <w:unhideWhenUsed/>
    <w:qFormat/>
    <w:uiPriority w:val="0"/>
    <w:rPr>
      <w:rFonts w:asciiTheme="minorHAnsi" w:hAnsiTheme="minorHAnsi" w:cstheme="minorBidi"/>
      <w:b/>
      <w:bCs/>
      <w:szCs w:val="2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qFormat/>
    <w:uiPriority w:val="0"/>
  </w:style>
  <w:style w:type="character" w:styleId="25">
    <w:name w:val="Emphasis"/>
    <w:basedOn w:val="22"/>
    <w:qFormat/>
    <w:uiPriority w:val="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qFormat/>
    <w:uiPriority w:val="99"/>
    <w:rPr>
      <w:color w:val="0000FF"/>
      <w:u w:val="single"/>
    </w:rPr>
  </w:style>
  <w:style w:type="character" w:styleId="30">
    <w:name w:val="HTML Code"/>
    <w:basedOn w:val="22"/>
    <w:qFormat/>
    <w:uiPriority w:val="0"/>
    <w:rPr>
      <w:rFonts w:ascii="Courier New" w:hAnsi="Courier New"/>
      <w:sz w:val="20"/>
    </w:rPr>
  </w:style>
  <w:style w:type="character" w:styleId="31">
    <w:name w:val="annotation reference"/>
    <w:unhideWhenUsed/>
    <w:qFormat/>
    <w:uiPriority w:val="0"/>
    <w:rPr>
      <w:sz w:val="21"/>
      <w:szCs w:val="21"/>
    </w:rPr>
  </w:style>
  <w:style w:type="character" w:styleId="32">
    <w:name w:val="HTML Cite"/>
    <w:basedOn w:val="22"/>
    <w:qFormat/>
    <w:uiPriority w:val="0"/>
  </w:style>
  <w:style w:type="character" w:customStyle="1" w:styleId="33">
    <w:name w:val="标题 1 字符"/>
    <w:basedOn w:val="22"/>
    <w:link w:val="3"/>
    <w:qFormat/>
    <w:uiPriority w:val="0"/>
    <w:rPr>
      <w:rFonts w:ascii="黑体" w:hAnsi="Times New Roman" w:eastAsia="黑体" w:cs="Times New Roman"/>
      <w:sz w:val="52"/>
      <w:szCs w:val="24"/>
    </w:rPr>
  </w:style>
  <w:style w:type="character" w:customStyle="1" w:styleId="34">
    <w:name w:val="标题 2 字符"/>
    <w:basedOn w:val="22"/>
    <w:link w:val="4"/>
    <w:qFormat/>
    <w:uiPriority w:val="0"/>
    <w:rPr>
      <w:rFonts w:ascii="Arial" w:hAnsi="Arial" w:eastAsia="黑体" w:cs="Times New Roman"/>
      <w:b/>
      <w:sz w:val="32"/>
      <w:szCs w:val="20"/>
    </w:rPr>
  </w:style>
  <w:style w:type="character" w:customStyle="1" w:styleId="35">
    <w:name w:val="标题 3 字符"/>
    <w:basedOn w:val="22"/>
    <w:link w:val="5"/>
    <w:qFormat/>
    <w:uiPriority w:val="0"/>
    <w:rPr>
      <w:rFonts w:ascii="Times New Roman" w:hAnsi="Times New Roman" w:eastAsia="宋体" w:cs="Times New Roman"/>
      <w:b/>
      <w:sz w:val="32"/>
      <w:szCs w:val="20"/>
    </w:rPr>
  </w:style>
  <w:style w:type="character" w:customStyle="1" w:styleId="36">
    <w:name w:val="批注文字 字符"/>
    <w:basedOn w:val="22"/>
    <w:link w:val="8"/>
    <w:semiHidden/>
    <w:qFormat/>
    <w:uiPriority w:val="99"/>
    <w:rPr>
      <w:rFonts w:ascii="Times New Roman" w:hAnsi="Times New Roman" w:eastAsia="宋体" w:cs="Times New Roman"/>
      <w:szCs w:val="20"/>
    </w:rPr>
  </w:style>
  <w:style w:type="character" w:customStyle="1" w:styleId="37">
    <w:name w:val="批注主题 字符"/>
    <w:basedOn w:val="36"/>
    <w:link w:val="19"/>
    <w:semiHidden/>
    <w:qFormat/>
    <w:uiPriority w:val="99"/>
    <w:rPr>
      <w:rFonts w:ascii="Times New Roman" w:hAnsi="Times New Roman" w:eastAsia="宋体" w:cs="Times New Roman"/>
      <w:b/>
      <w:bCs/>
      <w:szCs w:val="20"/>
    </w:rPr>
  </w:style>
  <w:style w:type="character" w:customStyle="1" w:styleId="38">
    <w:name w:val="正文缩进 字符"/>
    <w:link w:val="6"/>
    <w:qFormat/>
    <w:uiPriority w:val="0"/>
    <w:rPr>
      <w:rFonts w:ascii="宋体" w:hAnsi="Times New Roman" w:eastAsia="宋体" w:cs="Times New Roman"/>
      <w:kern w:val="2"/>
      <w:sz w:val="24"/>
    </w:rPr>
  </w:style>
  <w:style w:type="character" w:customStyle="1" w:styleId="39">
    <w:name w:val="文档结构图 字符"/>
    <w:basedOn w:val="22"/>
    <w:link w:val="7"/>
    <w:semiHidden/>
    <w:qFormat/>
    <w:uiPriority w:val="99"/>
    <w:rPr>
      <w:rFonts w:ascii="宋体" w:hAnsi="Times New Roman" w:eastAsia="宋体" w:cs="Times New Roman"/>
      <w:sz w:val="18"/>
      <w:szCs w:val="18"/>
    </w:rPr>
  </w:style>
  <w:style w:type="character" w:customStyle="1" w:styleId="40">
    <w:name w:val="正文文本 字符"/>
    <w:basedOn w:val="22"/>
    <w:link w:val="2"/>
    <w:qFormat/>
    <w:uiPriority w:val="0"/>
    <w:rPr>
      <w:rFonts w:ascii="Times New Roman" w:hAnsi="Times New Roman" w:eastAsia="宋体" w:cs="Times New Roman"/>
      <w:szCs w:val="24"/>
    </w:rPr>
  </w:style>
  <w:style w:type="character" w:customStyle="1" w:styleId="41">
    <w:name w:val="正文文本缩进 字符"/>
    <w:basedOn w:val="22"/>
    <w:link w:val="9"/>
    <w:qFormat/>
    <w:uiPriority w:val="0"/>
    <w:rPr>
      <w:rFonts w:ascii="宋体" w:hAnsi="Times New Roman" w:eastAsia="宋体" w:cs="Century"/>
      <w:spacing w:val="2"/>
      <w:szCs w:val="24"/>
    </w:rPr>
  </w:style>
  <w:style w:type="character" w:customStyle="1" w:styleId="42">
    <w:name w:val="纯文本 字符"/>
    <w:basedOn w:val="22"/>
    <w:link w:val="11"/>
    <w:qFormat/>
    <w:uiPriority w:val="99"/>
    <w:rPr>
      <w:rFonts w:ascii="宋体" w:hAnsi="Courier New" w:eastAsia="宋体" w:cs="Courier New"/>
      <w:szCs w:val="21"/>
    </w:rPr>
  </w:style>
  <w:style w:type="character" w:customStyle="1" w:styleId="43">
    <w:name w:val="日期 字符"/>
    <w:basedOn w:val="22"/>
    <w:link w:val="12"/>
    <w:qFormat/>
    <w:uiPriority w:val="0"/>
    <w:rPr>
      <w:rFonts w:ascii="宋体" w:hAnsi="宋体" w:eastAsia="宋体" w:cs="Times New Roman"/>
      <w:sz w:val="24"/>
      <w:szCs w:val="20"/>
    </w:rPr>
  </w:style>
  <w:style w:type="character" w:customStyle="1" w:styleId="44">
    <w:name w:val="正文文本缩进 2 字符"/>
    <w:basedOn w:val="22"/>
    <w:link w:val="13"/>
    <w:qFormat/>
    <w:uiPriority w:val="0"/>
    <w:rPr>
      <w:rFonts w:ascii="Times New Roman" w:hAnsi="Times New Roman" w:eastAsia="宋体" w:cs="Times New Roman"/>
      <w:szCs w:val="24"/>
    </w:rPr>
  </w:style>
  <w:style w:type="character" w:customStyle="1" w:styleId="45">
    <w:name w:val="批注框文本 字符"/>
    <w:basedOn w:val="22"/>
    <w:link w:val="14"/>
    <w:semiHidden/>
    <w:qFormat/>
    <w:uiPriority w:val="99"/>
    <w:rPr>
      <w:rFonts w:ascii="Times New Roman" w:hAnsi="Times New Roman" w:eastAsia="宋体" w:cs="Times New Roman"/>
      <w:sz w:val="18"/>
      <w:szCs w:val="18"/>
    </w:rPr>
  </w:style>
  <w:style w:type="character" w:customStyle="1" w:styleId="46">
    <w:name w:val="页脚 字符"/>
    <w:basedOn w:val="22"/>
    <w:link w:val="15"/>
    <w:semiHidden/>
    <w:qFormat/>
    <w:uiPriority w:val="99"/>
    <w:rPr>
      <w:rFonts w:ascii="Times New Roman" w:hAnsi="Times New Roman" w:eastAsia="宋体" w:cs="Times New Roman"/>
      <w:sz w:val="18"/>
      <w:szCs w:val="18"/>
    </w:rPr>
  </w:style>
  <w:style w:type="character" w:customStyle="1" w:styleId="47">
    <w:name w:val="页眉 字符"/>
    <w:basedOn w:val="22"/>
    <w:link w:val="16"/>
    <w:qFormat/>
    <w:uiPriority w:val="99"/>
    <w:rPr>
      <w:rFonts w:ascii="Times New Roman" w:hAnsi="Times New Roman" w:eastAsia="宋体" w:cs="Times New Roman"/>
      <w:sz w:val="18"/>
      <w:szCs w:val="20"/>
    </w:rPr>
  </w:style>
  <w:style w:type="character" w:customStyle="1" w:styleId="48">
    <w:name w:val="批注框文本 Char"/>
    <w:qFormat/>
    <w:uiPriority w:val="0"/>
    <w:rPr>
      <w:rFonts w:eastAsia="宋体"/>
      <w:sz w:val="18"/>
      <w:szCs w:val="18"/>
    </w:rPr>
  </w:style>
  <w:style w:type="character" w:customStyle="1" w:styleId="49">
    <w:name w:val="批注主题 Char"/>
    <w:qFormat/>
    <w:uiPriority w:val="0"/>
    <w:rPr>
      <w:rFonts w:eastAsia="宋体"/>
      <w:b/>
      <w:bCs/>
    </w:rPr>
  </w:style>
  <w:style w:type="character" w:customStyle="1" w:styleId="50">
    <w:name w:val="文档结构图 Char"/>
    <w:qFormat/>
    <w:uiPriority w:val="99"/>
    <w:rPr>
      <w:rFonts w:ascii="宋体" w:eastAsia="宋体"/>
      <w:sz w:val="18"/>
      <w:szCs w:val="18"/>
    </w:rPr>
  </w:style>
  <w:style w:type="character" w:customStyle="1" w:styleId="51">
    <w:name w:val="批注文字 Char"/>
    <w:qFormat/>
    <w:uiPriority w:val="0"/>
    <w:rPr>
      <w:rFonts w:eastAsia="宋体"/>
      <w:kern w:val="2"/>
      <w:sz w:val="21"/>
    </w:rPr>
  </w:style>
  <w:style w:type="character" w:customStyle="1" w:styleId="52">
    <w:name w:val="页脚 Char"/>
    <w:qFormat/>
    <w:uiPriority w:val="0"/>
    <w:rPr>
      <w:rFonts w:eastAsia="宋体"/>
      <w:sz w:val="18"/>
    </w:rPr>
  </w:style>
  <w:style w:type="character" w:customStyle="1" w:styleId="53">
    <w:name w:val="纯文本 Char"/>
    <w:qFormat/>
    <w:uiPriority w:val="0"/>
    <w:rPr>
      <w:rFonts w:ascii="宋体" w:hAnsi="宋体"/>
      <w:sz w:val="26"/>
    </w:rPr>
  </w:style>
  <w:style w:type="paragraph" w:customStyle="1" w:styleId="54">
    <w:name w:val="列出段落1"/>
    <w:basedOn w:val="1"/>
    <w:qFormat/>
    <w:uiPriority w:val="34"/>
    <w:pPr>
      <w:ind w:firstLine="420" w:firstLineChars="200"/>
    </w:pPr>
  </w:style>
  <w:style w:type="paragraph" w:customStyle="1" w:styleId="55">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6">
    <w:name w:val="列出段落11"/>
    <w:basedOn w:val="1"/>
    <w:qFormat/>
    <w:uiPriority w:val="99"/>
    <w:pPr>
      <w:ind w:firstLine="420" w:firstLineChars="200"/>
    </w:pPr>
  </w:style>
  <w:style w:type="paragraph" w:customStyle="1" w:styleId="57">
    <w:name w:val="正文文本缩进1"/>
    <w:basedOn w:val="1"/>
    <w:qFormat/>
    <w:uiPriority w:val="0"/>
    <w:pPr>
      <w:spacing w:line="200" w:lineRule="exact"/>
      <w:ind w:firstLine="301"/>
    </w:pPr>
    <w:rPr>
      <w:rFonts w:ascii="宋体" w:hAnsi="Courier New"/>
      <w:spacing w:val="-4"/>
      <w:sz w:val="18"/>
    </w:rPr>
  </w:style>
  <w:style w:type="paragraph" w:customStyle="1" w:styleId="58">
    <w:name w:val="正文文本缩进2"/>
    <w:basedOn w:val="1"/>
    <w:qFormat/>
    <w:uiPriority w:val="0"/>
    <w:pPr>
      <w:spacing w:line="200" w:lineRule="exact"/>
      <w:ind w:firstLine="301"/>
    </w:pPr>
    <w:rPr>
      <w:rFonts w:ascii="宋体" w:hAnsi="Courier New"/>
      <w:spacing w:val="-4"/>
      <w:kern w:val="0"/>
      <w:sz w:val="18"/>
    </w:rPr>
  </w:style>
  <w:style w:type="character" w:customStyle="1" w:styleId="59">
    <w:name w:val="页码1"/>
    <w:basedOn w:val="22"/>
    <w:qFormat/>
    <w:uiPriority w:val="0"/>
  </w:style>
  <w:style w:type="paragraph" w:customStyle="1" w:styleId="60">
    <w:name w:val="正文文本缩进21"/>
    <w:basedOn w:val="1"/>
    <w:qFormat/>
    <w:uiPriority w:val="0"/>
    <w:pPr>
      <w:spacing w:line="200" w:lineRule="exact"/>
      <w:ind w:firstLine="301"/>
    </w:pPr>
    <w:rPr>
      <w:rFonts w:ascii="宋体" w:hAnsi="Courier New"/>
      <w:spacing w:val="-4"/>
      <w:kern w:val="0"/>
      <w:sz w:val="18"/>
    </w:rPr>
  </w:style>
  <w:style w:type="paragraph" w:customStyle="1" w:styleId="61">
    <w:name w:val="修订1"/>
    <w:hidden/>
    <w:semiHidden/>
    <w:qFormat/>
    <w:uiPriority w:val="99"/>
    <w:rPr>
      <w:rFonts w:ascii="Times New Roman" w:hAnsi="Times New Roman" w:eastAsia="宋体" w:cs="Times New Roman"/>
      <w:kern w:val="2"/>
      <w:sz w:val="21"/>
      <w:lang w:val="en-US" w:eastAsia="zh-CN" w:bidi="ar-SA"/>
    </w:rPr>
  </w:style>
  <w:style w:type="paragraph" w:customStyle="1" w:styleId="62">
    <w:name w:val="Í¼±íÕýÎÄ"/>
    <w:basedOn w:val="1"/>
    <w:next w:val="6"/>
    <w:qFormat/>
    <w:uiPriority w:val="0"/>
    <w:pPr>
      <w:ind w:firstLine="420" w:firstLineChars="200"/>
    </w:pPr>
    <w:rPr>
      <w:sz w:val="24"/>
    </w:rPr>
  </w:style>
  <w:style w:type="paragraph" w:styleId="63">
    <w:name w:val="List Paragraph"/>
    <w:basedOn w:val="1"/>
    <w:qFormat/>
    <w:uiPriority w:val="34"/>
    <w:pPr>
      <w:ind w:firstLine="420" w:firstLineChars="200"/>
    </w:pPr>
    <w:rPr>
      <w:rFonts w:ascii="Calibri" w:hAnsi="Calibri"/>
      <w:szCs w:val="22"/>
    </w:rPr>
  </w:style>
  <w:style w:type="character" w:customStyle="1" w:styleId="64">
    <w:name w:val="font01"/>
    <w:qFormat/>
    <w:uiPriority w:val="0"/>
    <w:rPr>
      <w:rFonts w:hint="eastAsia" w:ascii="宋体" w:hAnsi="宋体" w:eastAsia="宋体" w:cs="宋体"/>
      <w:color w:val="000000"/>
      <w:sz w:val="24"/>
      <w:szCs w:val="24"/>
      <w:u w:val="none"/>
    </w:rPr>
  </w:style>
  <w:style w:type="paragraph" w:customStyle="1" w:styleId="65">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6">
    <w:name w:val="样式 纯文本 + (符号) 宋体 Char"/>
    <w:link w:val="67"/>
    <w:qFormat/>
    <w:uiPriority w:val="0"/>
    <w:rPr>
      <w:rFonts w:eastAsia="宋体" w:cs="Times New Roman"/>
      <w:sz w:val="21"/>
      <w:szCs w:val="20"/>
    </w:rPr>
  </w:style>
  <w:style w:type="paragraph" w:customStyle="1" w:styleId="67">
    <w:name w:val="样式 纯文本 + (符号) 宋体"/>
    <w:basedOn w:val="11"/>
    <w:link w:val="66"/>
    <w:qFormat/>
    <w:uiPriority w:val="0"/>
    <w:pPr>
      <w:jc w:val="center"/>
    </w:pPr>
    <w:rPr>
      <w:rFonts w:eastAsia="宋体" w:cs="Times New Roman"/>
      <w:sz w:val="21"/>
      <w:szCs w:val="20"/>
    </w:rPr>
  </w:style>
  <w:style w:type="character" w:customStyle="1" w:styleId="68">
    <w:name w:val="font31"/>
    <w:basedOn w:val="22"/>
    <w:qFormat/>
    <w:uiPriority w:val="0"/>
    <w:rPr>
      <w:rFonts w:hint="eastAsia" w:ascii="宋体" w:hAnsi="宋体" w:eastAsia="宋体" w:cs="宋体"/>
      <w:color w:val="000000"/>
      <w:sz w:val="20"/>
      <w:szCs w:val="20"/>
      <w:u w:val="none"/>
    </w:rPr>
  </w:style>
  <w:style w:type="character" w:customStyle="1" w:styleId="69">
    <w:name w:val="font81"/>
    <w:basedOn w:val="22"/>
    <w:qFormat/>
    <w:uiPriority w:val="0"/>
    <w:rPr>
      <w:rFonts w:hint="eastAsia" w:ascii="宋体" w:hAnsi="宋体" w:eastAsia="宋体" w:cs="宋体"/>
      <w:b/>
      <w:color w:val="000000"/>
      <w:sz w:val="22"/>
      <w:szCs w:val="22"/>
      <w:u w:val="none"/>
    </w:rPr>
  </w:style>
  <w:style w:type="character" w:customStyle="1" w:styleId="70">
    <w:name w:val="apple-converted-space"/>
    <w:basedOn w:val="22"/>
    <w:qFormat/>
    <w:uiPriority w:val="0"/>
  </w:style>
  <w:style w:type="character" w:customStyle="1" w:styleId="71">
    <w:name w:val="font21"/>
    <w:basedOn w:val="22"/>
    <w:qFormat/>
    <w:uiPriority w:val="0"/>
    <w:rPr>
      <w:rFonts w:hint="eastAsia" w:ascii="宋体" w:hAnsi="宋体" w:eastAsia="宋体" w:cs="宋体"/>
      <w:color w:val="000000"/>
      <w:sz w:val="20"/>
      <w:szCs w:val="20"/>
      <w:u w:val="none"/>
    </w:rPr>
  </w:style>
  <w:style w:type="character" w:customStyle="1" w:styleId="72">
    <w:name w:val="font71"/>
    <w:basedOn w:val="22"/>
    <w:qFormat/>
    <w:uiPriority w:val="0"/>
    <w:rPr>
      <w:rFonts w:hint="eastAsia" w:ascii="宋体" w:hAnsi="宋体" w:eastAsia="宋体" w:cs="宋体"/>
      <w:color w:val="000000"/>
      <w:sz w:val="20"/>
      <w:szCs w:val="20"/>
      <w:u w:val="none"/>
    </w:rPr>
  </w:style>
  <w:style w:type="character" w:customStyle="1" w:styleId="73">
    <w:name w:val="font61"/>
    <w:basedOn w:val="22"/>
    <w:qFormat/>
    <w:uiPriority w:val="0"/>
    <w:rPr>
      <w:rFonts w:hint="eastAsia" w:ascii="宋体" w:hAnsi="宋体" w:eastAsia="宋体" w:cs="宋体"/>
      <w:b/>
      <w:color w:val="000000"/>
      <w:sz w:val="24"/>
      <w:szCs w:val="24"/>
      <w:u w:val="none"/>
    </w:rPr>
  </w:style>
  <w:style w:type="character" w:customStyle="1" w:styleId="74">
    <w:name w:val="font51"/>
    <w:basedOn w:val="22"/>
    <w:qFormat/>
    <w:uiPriority w:val="0"/>
    <w:rPr>
      <w:rFonts w:hint="eastAsia" w:ascii="宋体" w:hAnsi="宋体" w:eastAsia="宋体" w:cs="宋体"/>
      <w:color w:val="FF0000"/>
      <w:sz w:val="20"/>
      <w:szCs w:val="20"/>
      <w:u w:val="none"/>
    </w:rPr>
  </w:style>
  <w:style w:type="character" w:customStyle="1" w:styleId="75">
    <w:name w:val="font41"/>
    <w:basedOn w:val="22"/>
    <w:qFormat/>
    <w:uiPriority w:val="0"/>
    <w:rPr>
      <w:rFonts w:hint="default" w:ascii="Arial" w:hAnsi="Arial" w:cs="Arial"/>
      <w:color w:val="FF0000"/>
      <w:sz w:val="20"/>
      <w:szCs w:val="20"/>
      <w:u w:val="none"/>
    </w:rPr>
  </w:style>
  <w:style w:type="character" w:customStyle="1" w:styleId="76">
    <w:name w:val="font11"/>
    <w:basedOn w:val="22"/>
    <w:qFormat/>
    <w:uiPriority w:val="0"/>
    <w:rPr>
      <w:rFonts w:hint="default" w:ascii="Arial" w:hAnsi="Arial" w:cs="Arial"/>
      <w:color w:val="FF0000"/>
      <w:sz w:val="20"/>
      <w:szCs w:val="20"/>
      <w:u w:val="none"/>
    </w:rPr>
  </w:style>
  <w:style w:type="character" w:customStyle="1" w:styleId="77">
    <w:name w:val="Char Char3"/>
    <w:qFormat/>
    <w:locked/>
    <w:uiPriority w:val="0"/>
    <w:rPr>
      <w:rFonts w:ascii="宋体" w:hAnsi="Courier New" w:eastAsia="宋体"/>
      <w:kern w:val="2"/>
      <w:sz w:val="21"/>
      <w:lang w:val="en-US" w:eastAsia="zh-CN" w:bidi="ar-SA"/>
    </w:rPr>
  </w:style>
  <w:style w:type="paragraph" w:customStyle="1" w:styleId="78">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列出段落2"/>
    <w:basedOn w:val="1"/>
    <w:qFormat/>
    <w:uiPriority w:val="0"/>
    <w:pPr>
      <w:ind w:firstLine="420" w:firstLineChars="200"/>
    </w:pPr>
    <w:rPr>
      <w:rFonts w:ascii="Calibri" w:hAnsi="Calibri"/>
      <w:szCs w:val="22"/>
    </w:rPr>
  </w:style>
  <w:style w:type="paragraph" w:customStyle="1" w:styleId="80">
    <w:name w:val="列出段落3"/>
    <w:basedOn w:val="1"/>
    <w:qFormat/>
    <w:uiPriority w:val="0"/>
    <w:pPr>
      <w:ind w:firstLine="420" w:firstLineChars="200"/>
    </w:pPr>
    <w:rPr>
      <w:rFonts w:ascii="Calibri" w:hAnsi="Calibri"/>
      <w:szCs w:val="22"/>
    </w:rPr>
  </w:style>
  <w:style w:type="paragraph" w:customStyle="1" w:styleId="81">
    <w:name w:val="修订2"/>
    <w:hidden/>
    <w:semiHidden/>
    <w:qFormat/>
    <w:uiPriority w:val="99"/>
    <w:rPr>
      <w:rFonts w:ascii="Times New Roman" w:hAnsi="Times New Roman" w:eastAsia="宋体" w:cs="Times New Roman"/>
      <w:kern w:val="2"/>
      <w:sz w:val="21"/>
      <w:lang w:val="en-US" w:eastAsia="zh-CN" w:bidi="ar-SA"/>
    </w:rPr>
  </w:style>
  <w:style w:type="paragraph" w:customStyle="1" w:styleId="82">
    <w:name w:val="纯文本3"/>
    <w:basedOn w:val="1"/>
    <w:link w:val="83"/>
    <w:qFormat/>
    <w:uiPriority w:val="0"/>
    <w:pPr>
      <w:adjustRightInd w:val="0"/>
    </w:pPr>
    <w:rPr>
      <w:rFonts w:ascii="宋体" w:hAnsi="Courier New" w:eastAsia="楷体_GB2312"/>
      <w:sz w:val="26"/>
    </w:rPr>
  </w:style>
  <w:style w:type="character" w:customStyle="1" w:styleId="83">
    <w:name w:val="Plain Text Char"/>
    <w:link w:val="82"/>
    <w:qFormat/>
    <w:locked/>
    <w:uiPriority w:val="0"/>
    <w:rPr>
      <w:rFonts w:ascii="宋体" w:hAnsi="Courier New" w:eastAsia="楷体_GB2312" w:cs="Times New Roman"/>
      <w:kern w:val="2"/>
      <w:sz w:val="26"/>
    </w:rPr>
  </w:style>
  <w:style w:type="paragraph" w:customStyle="1" w:styleId="84">
    <w:name w:val="成文日期"/>
    <w:basedOn w:val="1"/>
    <w:qFormat/>
    <w:uiPriority w:val="0"/>
    <w:pPr>
      <w:ind w:right="400" w:rightChars="400"/>
      <w:jc w:val="right"/>
    </w:pPr>
  </w:style>
  <w:style w:type="paragraph" w:customStyle="1" w:styleId="85">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8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36487-B76F-44ED-AFE1-13016B3D4E2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10117</Words>
  <Characters>10889</Characters>
  <Lines>90</Lines>
  <Paragraphs>25</Paragraphs>
  <TotalTime>11</TotalTime>
  <ScaleCrop>false</ScaleCrop>
  <LinksUpToDate>false</LinksUpToDate>
  <CharactersWithSpaces>12033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2020-04-23T08:28:00Z</dcterms:created>
  <dc:creator>xlq</dc:creator>
  <cp:lastModifiedBy>兰馥郁</cp:lastModifiedBy>
  <cp:lastPrinted>2018-07-30T03:04:00Z</cp:lastPrinted>
  <dcterms:modified xsi:type="dcterms:W3CDTF">2021-09-23T10:15:16Z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CDBE068E86D24D9BBC3EF00F5FBBA7E1</vt:lpwstr>
  </property>
</Properties>
</file>