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72880">
      <w:pPr>
        <w:jc w:val="left"/>
        <w:rPr>
          <w:rFonts w:ascii="宋体" w:hAnsi="宋体" w:cs="宋体"/>
          <w:color w:val="auto"/>
          <w:sz w:val="44"/>
          <w:szCs w:val="44"/>
        </w:rPr>
      </w:pPr>
    </w:p>
    <w:p w14:paraId="481F5C4A">
      <w:pPr>
        <w:tabs>
          <w:tab w:val="left" w:pos="2450"/>
        </w:tabs>
        <w:spacing w:line="680" w:lineRule="exact"/>
        <w:rPr>
          <w:rFonts w:ascii="宋体" w:hAnsi="宋体" w:cs="宋体"/>
          <w:color w:val="auto"/>
          <w:sz w:val="44"/>
          <w:szCs w:val="44"/>
        </w:rPr>
      </w:pPr>
    </w:p>
    <w:p w14:paraId="44CCC970">
      <w:pPr>
        <w:snapToGrid w:val="0"/>
        <w:spacing w:line="360" w:lineRule="auto"/>
        <w:jc w:val="center"/>
        <w:rPr>
          <w:rFonts w:ascii="宋体" w:hAnsi="宋体" w:cs="黑体"/>
          <w:b/>
          <w:color w:val="auto"/>
          <w:spacing w:val="170"/>
          <w:kern w:val="0"/>
          <w:sz w:val="84"/>
          <w:szCs w:val="84"/>
        </w:rPr>
      </w:pPr>
    </w:p>
    <w:p w14:paraId="6CC715CB">
      <w:pPr>
        <w:snapToGrid w:val="0"/>
        <w:spacing w:line="360" w:lineRule="auto"/>
        <w:jc w:val="center"/>
        <w:rPr>
          <w:rFonts w:ascii="宋体" w:hAnsi="宋体" w:cs="黑体"/>
          <w:b/>
          <w:color w:val="auto"/>
          <w:spacing w:val="170"/>
          <w:kern w:val="0"/>
          <w:sz w:val="84"/>
          <w:szCs w:val="84"/>
        </w:rPr>
      </w:pPr>
      <w:r>
        <w:rPr>
          <w:rFonts w:hint="eastAsia" w:ascii="宋体" w:hAnsi="宋体" w:cs="黑体"/>
          <w:b/>
          <w:color w:val="auto"/>
          <w:spacing w:val="170"/>
          <w:kern w:val="0"/>
          <w:sz w:val="84"/>
          <w:szCs w:val="84"/>
        </w:rPr>
        <w:t>询价通知书</w:t>
      </w:r>
    </w:p>
    <w:p w14:paraId="243534A1">
      <w:pPr>
        <w:tabs>
          <w:tab w:val="left" w:pos="2450"/>
        </w:tabs>
        <w:spacing w:line="680" w:lineRule="exact"/>
        <w:rPr>
          <w:rFonts w:ascii="宋体" w:hAnsi="宋体" w:cs="宋体"/>
          <w:color w:val="auto"/>
          <w:sz w:val="44"/>
          <w:szCs w:val="44"/>
        </w:rPr>
      </w:pPr>
      <w:r>
        <w:rPr>
          <w:rFonts w:ascii="宋体" w:hAnsi="宋体" w:cs="宋体"/>
          <w:color w:val="auto"/>
          <w:sz w:val="44"/>
          <w:szCs w:val="44"/>
        </w:rPr>
        <w:tab/>
      </w:r>
    </w:p>
    <w:p w14:paraId="157D044A">
      <w:pPr>
        <w:adjustRightInd w:val="0"/>
        <w:snapToGrid w:val="0"/>
        <w:spacing w:line="800" w:lineRule="exact"/>
        <w:rPr>
          <w:rFonts w:ascii="宋体" w:hAnsi="宋体" w:cs="宋体"/>
          <w:color w:val="auto"/>
          <w:sz w:val="44"/>
          <w:szCs w:val="44"/>
        </w:rPr>
      </w:pPr>
    </w:p>
    <w:p w14:paraId="20764919">
      <w:pPr>
        <w:adjustRightInd w:val="0"/>
        <w:snapToGrid w:val="0"/>
        <w:spacing w:line="800" w:lineRule="exact"/>
        <w:rPr>
          <w:rFonts w:ascii="宋体" w:hAnsi="宋体"/>
          <w:bCs/>
          <w:color w:val="auto"/>
          <w:sz w:val="28"/>
          <w:szCs w:val="32"/>
          <w:highlight w:val="none"/>
        </w:rPr>
      </w:pPr>
      <w:r>
        <w:rPr>
          <w:rFonts w:hint="eastAsia" w:ascii="宋体" w:hAnsi="宋体"/>
          <w:bCs/>
          <w:color w:val="auto"/>
          <w:sz w:val="28"/>
          <w:szCs w:val="32"/>
        </w:rPr>
        <w:t>采购项目编</w:t>
      </w:r>
      <w:r>
        <w:rPr>
          <w:rFonts w:hint="eastAsia" w:ascii="宋体" w:hAnsi="宋体"/>
          <w:bCs/>
          <w:color w:val="auto"/>
          <w:sz w:val="28"/>
          <w:szCs w:val="32"/>
          <w:highlight w:val="none"/>
        </w:rPr>
        <w:t>号：CT-SX-2025103</w:t>
      </w:r>
    </w:p>
    <w:p w14:paraId="7B486A66">
      <w:pPr>
        <w:adjustRightInd w:val="0"/>
        <w:snapToGrid w:val="0"/>
        <w:spacing w:line="800" w:lineRule="exact"/>
        <w:rPr>
          <w:rFonts w:hint="eastAsia" w:ascii="宋体" w:hAnsi="宋体" w:eastAsia="宋体"/>
          <w:bCs/>
          <w:color w:val="auto"/>
          <w:sz w:val="28"/>
          <w:szCs w:val="32"/>
          <w:highlight w:val="none"/>
          <w:lang w:eastAsia="zh-CN"/>
        </w:rPr>
      </w:pPr>
      <w:r>
        <w:rPr>
          <w:rFonts w:hint="eastAsia" w:ascii="宋体" w:hAnsi="宋体"/>
          <w:bCs/>
          <w:color w:val="auto"/>
          <w:sz w:val="28"/>
          <w:szCs w:val="32"/>
          <w:highlight w:val="none"/>
        </w:rPr>
        <w:t>采购项目名称：</w:t>
      </w:r>
      <w:r>
        <w:rPr>
          <w:rFonts w:hint="eastAsia" w:ascii="宋体" w:hAnsi="宋体"/>
          <w:bCs/>
          <w:color w:val="auto"/>
          <w:sz w:val="28"/>
          <w:szCs w:val="32"/>
          <w:highlight w:val="none"/>
          <w:lang w:eastAsia="zh-CN"/>
        </w:rPr>
        <w:t>常州市经开区文化活动中心消防维保服务项目</w:t>
      </w:r>
    </w:p>
    <w:p w14:paraId="4D28A5F3">
      <w:pPr>
        <w:adjustRightInd w:val="0"/>
        <w:snapToGrid w:val="0"/>
        <w:spacing w:line="800" w:lineRule="exact"/>
        <w:rPr>
          <w:rFonts w:ascii="宋体" w:hAnsi="宋体"/>
          <w:bCs/>
          <w:color w:val="auto"/>
          <w:sz w:val="28"/>
          <w:szCs w:val="32"/>
          <w:highlight w:val="none"/>
        </w:rPr>
      </w:pPr>
      <w:r>
        <w:rPr>
          <w:rFonts w:hint="eastAsia" w:ascii="宋体" w:hAnsi="宋体"/>
          <w:bCs/>
          <w:color w:val="auto"/>
          <w:sz w:val="28"/>
          <w:szCs w:val="32"/>
          <w:highlight w:val="none"/>
        </w:rPr>
        <w:t>采 购 人名称：江苏常州经济开发区公共文化服务中心</w:t>
      </w:r>
    </w:p>
    <w:p w14:paraId="70C35132">
      <w:pPr>
        <w:adjustRightInd w:val="0"/>
        <w:snapToGrid w:val="0"/>
        <w:spacing w:line="800" w:lineRule="exact"/>
        <w:ind w:firstLine="2640" w:firstLineChars="600"/>
        <w:rPr>
          <w:rFonts w:ascii="宋体" w:hAnsi="宋体" w:cs="宋体"/>
          <w:color w:val="auto"/>
          <w:sz w:val="44"/>
          <w:szCs w:val="44"/>
          <w:highlight w:val="none"/>
        </w:rPr>
      </w:pPr>
    </w:p>
    <w:p w14:paraId="6908C0FA">
      <w:pPr>
        <w:spacing w:line="680" w:lineRule="exact"/>
        <w:jc w:val="center"/>
        <w:rPr>
          <w:rFonts w:ascii="宋体" w:hAnsi="宋体" w:cs="宋体"/>
          <w:color w:val="auto"/>
          <w:sz w:val="44"/>
          <w:szCs w:val="44"/>
          <w:highlight w:val="none"/>
        </w:rPr>
      </w:pPr>
    </w:p>
    <w:p w14:paraId="57735228">
      <w:pPr>
        <w:spacing w:line="480" w:lineRule="exact"/>
        <w:ind w:firstLine="750" w:firstLineChars="250"/>
        <w:jc w:val="center"/>
        <w:rPr>
          <w:rFonts w:ascii="宋体" w:hAnsi="宋体" w:cs="宋体"/>
          <w:color w:val="auto"/>
          <w:sz w:val="30"/>
          <w:szCs w:val="30"/>
          <w:highlight w:val="none"/>
        </w:rPr>
      </w:pPr>
    </w:p>
    <w:p w14:paraId="7FE6E503">
      <w:pPr>
        <w:spacing w:line="480" w:lineRule="exact"/>
        <w:jc w:val="center"/>
        <w:rPr>
          <w:rFonts w:ascii="宋体" w:hAnsi="宋体" w:cs="宋体"/>
          <w:color w:val="auto"/>
          <w:sz w:val="36"/>
          <w:szCs w:val="36"/>
          <w:highlight w:val="none"/>
        </w:rPr>
      </w:pPr>
    </w:p>
    <w:p w14:paraId="7319135E">
      <w:pPr>
        <w:spacing w:line="480" w:lineRule="exact"/>
        <w:jc w:val="center"/>
        <w:rPr>
          <w:rFonts w:ascii="宋体" w:hAnsi="宋体" w:cs="宋体"/>
          <w:color w:val="auto"/>
          <w:sz w:val="36"/>
          <w:szCs w:val="36"/>
          <w:highlight w:val="none"/>
        </w:rPr>
      </w:pPr>
      <w:r>
        <w:rPr>
          <w:rFonts w:hint="eastAsia" w:ascii="宋体" w:hAnsi="宋体" w:cs="宋体"/>
          <w:color w:val="auto"/>
          <w:sz w:val="36"/>
          <w:szCs w:val="36"/>
          <w:highlight w:val="none"/>
        </w:rPr>
        <w:t>常州市城投建设工程招标有限公司</w:t>
      </w:r>
    </w:p>
    <w:p w14:paraId="3EC24C0F">
      <w:pPr>
        <w:jc w:val="center"/>
        <w:rPr>
          <w:rFonts w:ascii="宋体" w:hAnsi="宋体" w:cs="宋体"/>
          <w:color w:val="auto"/>
          <w:sz w:val="36"/>
          <w:szCs w:val="36"/>
          <w:highlight w:val="none"/>
        </w:rPr>
      </w:pPr>
    </w:p>
    <w:p w14:paraId="43B090A5">
      <w:pPr>
        <w:jc w:val="center"/>
        <w:rPr>
          <w:rFonts w:ascii="宋体" w:hAnsi="宋体" w:cs="宋体"/>
          <w:b/>
          <w:color w:val="auto"/>
          <w:sz w:val="30"/>
          <w:highlight w:val="none"/>
        </w:rPr>
      </w:pPr>
      <w:r>
        <w:rPr>
          <w:rFonts w:hint="eastAsia" w:ascii="宋体" w:hAnsi="宋体" w:cs="宋体"/>
          <w:color w:val="auto"/>
          <w:w w:val="90"/>
          <w:sz w:val="44"/>
          <w:szCs w:val="44"/>
          <w:highlight w:val="none"/>
        </w:rPr>
        <w:t>二〇二</w:t>
      </w:r>
      <w:r>
        <w:rPr>
          <w:rFonts w:hint="eastAsia" w:ascii="宋体" w:hAnsi="宋体" w:cs="宋体"/>
          <w:color w:val="auto"/>
          <w:w w:val="90"/>
          <w:sz w:val="44"/>
          <w:szCs w:val="44"/>
          <w:highlight w:val="none"/>
          <w:lang w:val="en-US" w:eastAsia="zh-CN"/>
        </w:rPr>
        <w:t>五</w:t>
      </w:r>
      <w:r>
        <w:rPr>
          <w:rFonts w:hint="eastAsia" w:ascii="宋体" w:hAnsi="宋体" w:cs="宋体"/>
          <w:color w:val="auto"/>
          <w:w w:val="90"/>
          <w:sz w:val="44"/>
          <w:szCs w:val="44"/>
          <w:highlight w:val="none"/>
        </w:rPr>
        <w:t>年</w:t>
      </w:r>
      <w:r>
        <w:rPr>
          <w:rFonts w:hint="eastAsia" w:ascii="宋体" w:hAnsi="宋体" w:cs="宋体"/>
          <w:color w:val="auto"/>
          <w:w w:val="90"/>
          <w:sz w:val="44"/>
          <w:szCs w:val="44"/>
          <w:highlight w:val="none"/>
          <w:lang w:val="en-US" w:eastAsia="zh-CN"/>
        </w:rPr>
        <w:t>十二</w:t>
      </w:r>
      <w:r>
        <w:rPr>
          <w:rFonts w:hint="eastAsia" w:ascii="宋体" w:hAnsi="宋体" w:cs="宋体"/>
          <w:color w:val="auto"/>
          <w:w w:val="90"/>
          <w:sz w:val="44"/>
          <w:szCs w:val="44"/>
          <w:highlight w:val="none"/>
        </w:rPr>
        <w:t>月</w:t>
      </w:r>
    </w:p>
    <w:p w14:paraId="33834F63">
      <w:pPr>
        <w:spacing w:before="100" w:after="240" w:line="500" w:lineRule="exact"/>
        <w:jc w:val="center"/>
        <w:rPr>
          <w:rFonts w:ascii="宋体" w:hAnsi="宋体" w:cs="宋体"/>
          <w:b/>
          <w:color w:val="auto"/>
          <w:sz w:val="44"/>
          <w:szCs w:val="44"/>
        </w:rPr>
      </w:pPr>
    </w:p>
    <w:p w14:paraId="023F31AD">
      <w:pPr>
        <w:widowControl/>
        <w:jc w:val="left"/>
        <w:rPr>
          <w:rFonts w:ascii="宋体" w:hAnsi="宋体"/>
          <w:b/>
          <w:color w:val="auto"/>
          <w:sz w:val="28"/>
          <w:szCs w:val="28"/>
        </w:rPr>
      </w:pPr>
      <w:r>
        <w:rPr>
          <w:rFonts w:ascii="宋体" w:hAnsi="宋体"/>
          <w:b/>
          <w:color w:val="auto"/>
          <w:sz w:val="28"/>
          <w:szCs w:val="28"/>
        </w:rPr>
        <w:br w:type="page"/>
      </w:r>
    </w:p>
    <w:p w14:paraId="0AE73470">
      <w:pPr>
        <w:jc w:val="center"/>
        <w:outlineLvl w:val="1"/>
        <w:rPr>
          <w:rFonts w:hint="eastAsia" w:ascii="宋体" w:hAnsi="宋体" w:eastAsia="宋体" w:cs="宋体"/>
          <w:b/>
          <w:color w:val="auto"/>
          <w:kern w:val="0"/>
          <w:sz w:val="32"/>
          <w:szCs w:val="32"/>
          <w:lang w:eastAsia="zh-CN"/>
        </w:rPr>
      </w:pPr>
      <w:r>
        <w:rPr>
          <w:rFonts w:hint="eastAsia" w:ascii="宋体" w:hAnsi="宋体" w:cs="宋体"/>
          <w:b/>
          <w:color w:val="auto"/>
          <w:kern w:val="0"/>
          <w:sz w:val="32"/>
          <w:szCs w:val="32"/>
          <w:lang w:eastAsia="zh-CN"/>
        </w:rPr>
        <w:t>常州市经开区文化活动中心消防维保服务项目</w:t>
      </w:r>
    </w:p>
    <w:p w14:paraId="3475E571">
      <w:pPr>
        <w:jc w:val="center"/>
        <w:outlineLvl w:val="1"/>
        <w:rPr>
          <w:rFonts w:ascii="黑体" w:hAnsi="黑体" w:eastAsia="黑体" w:cs="宋体"/>
          <w:b/>
          <w:color w:val="auto"/>
          <w:kern w:val="0"/>
          <w:sz w:val="44"/>
          <w:szCs w:val="44"/>
        </w:rPr>
      </w:pPr>
      <w:r>
        <w:rPr>
          <w:rFonts w:hint="eastAsia" w:ascii="宋体" w:hAnsi="宋体" w:eastAsia="宋体" w:cs="宋体"/>
          <w:b/>
          <w:color w:val="auto"/>
          <w:kern w:val="0"/>
          <w:sz w:val="32"/>
          <w:szCs w:val="32"/>
        </w:rPr>
        <w:t>询价公告</w:t>
      </w:r>
    </w:p>
    <w:p w14:paraId="5A9AFE05">
      <w:pPr>
        <w:keepNext w:val="0"/>
        <w:keepLines w:val="0"/>
        <w:pageBreakBefore w:val="0"/>
        <w:widowControl w:val="0"/>
        <w:pBdr>
          <w:top w:val="single" w:color="auto" w:sz="4" w:space="1"/>
          <w:left w:val="single" w:color="auto" w:sz="4" w:space="4"/>
          <w:bottom w:val="single" w:color="auto" w:sz="4" w:space="10"/>
          <w:right w:val="single" w:color="auto" w:sz="4" w:space="4"/>
        </w:pBdr>
        <w:kinsoku/>
        <w:wordWrap/>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项目概况</w:t>
      </w:r>
    </w:p>
    <w:p w14:paraId="0260E466">
      <w:pPr>
        <w:keepNext w:val="0"/>
        <w:keepLines w:val="0"/>
        <w:pageBreakBefore w:val="0"/>
        <w:widowControl w:val="0"/>
        <w:pBdr>
          <w:top w:val="single" w:color="auto" w:sz="4" w:space="1"/>
          <w:left w:val="single" w:color="auto" w:sz="4" w:space="4"/>
          <w:bottom w:val="single" w:color="auto" w:sz="4" w:space="10"/>
          <w:right w:val="single" w:color="auto" w:sz="4" w:space="4"/>
        </w:pBdr>
        <w:kinsoku/>
        <w:wordWrap/>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lang w:eastAsia="zh-CN"/>
        </w:rPr>
        <w:t>常州市经开区文化活动中心消防维保服务项目</w:t>
      </w:r>
      <w:r>
        <w:rPr>
          <w:rFonts w:hint="eastAsia" w:ascii="宋体" w:hAnsi="宋体" w:eastAsia="宋体" w:cs="宋体"/>
          <w:color w:val="auto"/>
          <w:sz w:val="21"/>
          <w:szCs w:val="21"/>
        </w:rPr>
        <w:t>的潜在供应商应在常州市</w:t>
      </w:r>
      <w:r>
        <w:rPr>
          <w:rFonts w:hint="eastAsia" w:ascii="宋体" w:hAnsi="宋体" w:eastAsia="宋体" w:cs="宋体"/>
          <w:color w:val="auto"/>
          <w:sz w:val="21"/>
          <w:szCs w:val="21"/>
          <w:highlight w:val="none"/>
        </w:rPr>
        <w:t>城投建设工程招标有限公司（http://www.czctzb.com/）获取采购文件，并于</w:t>
      </w:r>
      <w:r>
        <w:rPr>
          <w:rFonts w:hint="eastAsia" w:ascii="宋体" w:hAnsi="宋体" w:cs="宋体"/>
          <w:b/>
          <w:bCs/>
          <w:color w:val="auto"/>
          <w:sz w:val="21"/>
          <w:szCs w:val="21"/>
          <w:highlight w:val="none"/>
          <w:lang w:val="en-US" w:eastAsia="zh-CN"/>
        </w:rPr>
        <w:t>2025</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lang w:val="en-US" w:eastAsia="zh-CN"/>
        </w:rPr>
        <w:t>12</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lang w:val="en-US" w:eastAsia="zh-CN"/>
        </w:rPr>
        <w:t>31</w:t>
      </w:r>
      <w:r>
        <w:rPr>
          <w:rFonts w:hint="eastAsia" w:ascii="宋体" w:hAnsi="宋体" w:eastAsia="宋体" w:cs="宋体"/>
          <w:b/>
          <w:bCs/>
          <w:color w:val="auto"/>
          <w:sz w:val="21"/>
          <w:szCs w:val="21"/>
          <w:highlight w:val="none"/>
        </w:rPr>
        <w:t>日</w:t>
      </w:r>
      <w:r>
        <w:rPr>
          <w:rFonts w:hint="eastAsia" w:ascii="宋体" w:hAnsi="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rPr>
        <w:t>点</w:t>
      </w:r>
      <w:r>
        <w:rPr>
          <w:rFonts w:hint="eastAsia" w:ascii="宋体" w:hAnsi="宋体" w:cs="宋体"/>
          <w:b/>
          <w:bCs/>
          <w:color w:val="auto"/>
          <w:sz w:val="21"/>
          <w:szCs w:val="21"/>
          <w:highlight w:val="none"/>
          <w:lang w:val="en-US" w:eastAsia="zh-CN"/>
        </w:rPr>
        <w:t>00</w:t>
      </w:r>
      <w:r>
        <w:rPr>
          <w:rFonts w:hint="eastAsia" w:ascii="宋体" w:hAnsi="宋体" w:eastAsia="宋体" w:cs="宋体"/>
          <w:b/>
          <w:bCs/>
          <w:color w:val="auto"/>
          <w:sz w:val="21"/>
          <w:szCs w:val="21"/>
          <w:highlight w:val="none"/>
        </w:rPr>
        <w:t>分（北京时间）</w:t>
      </w:r>
      <w:r>
        <w:rPr>
          <w:rFonts w:hint="eastAsia" w:ascii="宋体" w:hAnsi="宋体" w:eastAsia="宋体" w:cs="宋体"/>
          <w:color w:val="auto"/>
          <w:sz w:val="21"/>
          <w:szCs w:val="21"/>
          <w:highlight w:val="none"/>
        </w:rPr>
        <w:t>前提交响应文件。</w:t>
      </w:r>
    </w:p>
    <w:p w14:paraId="11253689">
      <w:pPr>
        <w:keepNext w:val="0"/>
        <w:keepLines w:val="0"/>
        <w:pageBreakBefore w:val="0"/>
        <w:widowControl w:val="0"/>
        <w:kinsoku/>
        <w:wordWrap/>
        <w:topLinePunct w:val="0"/>
        <w:autoSpaceDE/>
        <w:autoSpaceDN/>
        <w:bidi w:val="0"/>
        <w:snapToGrid w:val="0"/>
        <w:spacing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一、项目基本情况</w:t>
      </w:r>
    </w:p>
    <w:p w14:paraId="3175BD17">
      <w:pPr>
        <w:keepNext w:val="0"/>
        <w:keepLines w:val="0"/>
        <w:pageBreakBefore w:val="0"/>
        <w:widowControl w:val="0"/>
        <w:kinsoku/>
        <w:wordWrap/>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1.项目编号：CT-SX-2025103</w:t>
      </w:r>
    </w:p>
    <w:p w14:paraId="01784B32">
      <w:pPr>
        <w:keepNext w:val="0"/>
        <w:keepLines w:val="0"/>
        <w:pageBreakBefore w:val="0"/>
        <w:widowControl w:val="0"/>
        <w:kinsoku/>
        <w:wordWrap/>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2.项目名称：</w:t>
      </w:r>
      <w:r>
        <w:rPr>
          <w:rFonts w:hint="eastAsia" w:ascii="宋体" w:hAnsi="宋体" w:cs="宋体"/>
          <w:color w:val="auto"/>
          <w:sz w:val="21"/>
          <w:szCs w:val="21"/>
          <w:highlight w:val="none"/>
          <w:lang w:eastAsia="zh-CN"/>
        </w:rPr>
        <w:t>常州市经开区文化活动中心消防维保服务项目</w:t>
      </w:r>
    </w:p>
    <w:p w14:paraId="3A577D75">
      <w:pPr>
        <w:keepNext w:val="0"/>
        <w:keepLines w:val="0"/>
        <w:pageBreakBefore w:val="0"/>
        <w:widowControl w:val="0"/>
        <w:kinsoku/>
        <w:wordWrap/>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3.采购方式：询价</w:t>
      </w:r>
    </w:p>
    <w:p w14:paraId="25C7B6F2">
      <w:pPr>
        <w:keepNext w:val="0"/>
        <w:keepLines w:val="0"/>
        <w:pageBreakBefore w:val="0"/>
        <w:widowControl w:val="0"/>
        <w:kinsoku/>
        <w:wordWrap/>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4.预算金额：</w:t>
      </w:r>
      <w:r>
        <w:rPr>
          <w:rFonts w:hint="eastAsia" w:ascii="宋体" w:hAnsi="宋体" w:cs="宋体"/>
          <w:color w:val="auto"/>
          <w:sz w:val="21"/>
          <w:szCs w:val="21"/>
          <w:highlight w:val="none"/>
          <w:lang w:val="en-US" w:eastAsia="zh-CN"/>
        </w:rPr>
        <w:t>4.5</w:t>
      </w:r>
      <w:r>
        <w:rPr>
          <w:rFonts w:hint="eastAsia" w:ascii="宋体" w:hAnsi="宋体" w:eastAsia="宋体" w:cs="宋体"/>
          <w:color w:val="auto"/>
          <w:sz w:val="21"/>
          <w:szCs w:val="21"/>
          <w:highlight w:val="none"/>
          <w:lang w:val="en-US" w:eastAsia="zh-CN"/>
        </w:rPr>
        <w:t>万</w:t>
      </w:r>
      <w:r>
        <w:rPr>
          <w:rFonts w:hint="eastAsia" w:ascii="宋体" w:hAnsi="宋体" w:eastAsia="宋体" w:cs="宋体"/>
          <w:color w:val="auto"/>
          <w:sz w:val="21"/>
          <w:szCs w:val="21"/>
          <w:highlight w:val="none"/>
        </w:rPr>
        <w:t>元</w:t>
      </w:r>
    </w:p>
    <w:p w14:paraId="573B540A">
      <w:pPr>
        <w:keepNext w:val="0"/>
        <w:keepLines w:val="0"/>
        <w:pageBreakBefore w:val="0"/>
        <w:widowControl w:val="0"/>
        <w:kinsoku/>
        <w:wordWrap/>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5.最高限价：</w:t>
      </w:r>
      <w:r>
        <w:rPr>
          <w:rFonts w:hint="eastAsia" w:ascii="宋体" w:hAnsi="宋体" w:cs="宋体"/>
          <w:color w:val="auto"/>
          <w:sz w:val="21"/>
          <w:szCs w:val="21"/>
          <w:highlight w:val="none"/>
          <w:lang w:val="en-US" w:eastAsia="zh-CN"/>
        </w:rPr>
        <w:t>4.5</w:t>
      </w:r>
      <w:r>
        <w:rPr>
          <w:rFonts w:hint="eastAsia" w:ascii="宋体" w:hAnsi="宋体" w:eastAsia="宋体" w:cs="宋体"/>
          <w:color w:val="auto"/>
          <w:sz w:val="21"/>
          <w:szCs w:val="21"/>
          <w:highlight w:val="none"/>
          <w:lang w:val="en-US" w:eastAsia="zh-CN"/>
        </w:rPr>
        <w:t>万</w:t>
      </w:r>
      <w:r>
        <w:rPr>
          <w:rFonts w:hint="eastAsia" w:ascii="宋体" w:hAnsi="宋体" w:eastAsia="宋体" w:cs="宋体"/>
          <w:color w:val="auto"/>
          <w:sz w:val="21"/>
          <w:szCs w:val="21"/>
          <w:highlight w:val="none"/>
        </w:rPr>
        <w:t>元</w:t>
      </w:r>
    </w:p>
    <w:p w14:paraId="0DCC942E">
      <w:pPr>
        <w:adjustRightInd w:val="0"/>
        <w:snapToGrid w:val="0"/>
        <w:spacing w:line="360" w:lineRule="exact"/>
        <w:ind w:firstLine="420" w:firstLineChars="200"/>
        <w:rPr>
          <w:rFonts w:hint="eastAsia" w:ascii="宋体" w:hAnsi="宋体" w:cs="宋体"/>
          <w:color w:val="auto"/>
          <w:szCs w:val="21"/>
        </w:rPr>
      </w:pPr>
      <w:r>
        <w:rPr>
          <w:rFonts w:hint="eastAsia" w:ascii="宋体" w:hAnsi="宋体" w:eastAsia="宋体" w:cs="宋体"/>
          <w:color w:val="auto"/>
          <w:sz w:val="21"/>
          <w:szCs w:val="21"/>
        </w:rPr>
        <w:t>6.采购需求：</w:t>
      </w:r>
      <w:r>
        <w:rPr>
          <w:rFonts w:hint="eastAsia" w:ascii="宋体" w:hAnsi="宋体" w:cs="宋体"/>
          <w:color w:val="auto"/>
          <w:szCs w:val="21"/>
        </w:rPr>
        <w:t>对常州市经开区文化活动中心消防设施、消控室和地下消防泵房等所有消防设施设备的维护保养工作，所有消防设施设备包括火灾自动报警系统、消防供水设施、消火栓灭火系统、消防供配电设施、自动跟踪定位射流灭火系统、自动喷水灭火系统、气体灭火系统、防排烟系统、火灾应急照明和疏散指示标志、应急广播系统、消防专用电话、防火分隔设施、消防电梯、电气火灾监控系统、灭火器等进行巡检、维护保养、故障处理、事故抢修、试验验证，保证经开文化活动中心消防设备运行安全、稳定、可靠。</w:t>
      </w:r>
    </w:p>
    <w:p w14:paraId="319E358B">
      <w:pPr>
        <w:keepNext w:val="0"/>
        <w:keepLines w:val="0"/>
        <w:pageBreakBefore w:val="0"/>
        <w:widowControl w:val="0"/>
        <w:kinsoku/>
        <w:wordWrap/>
        <w:topLinePunct w:val="0"/>
        <w:autoSpaceDE/>
        <w:autoSpaceDN/>
        <w:bidi w:val="0"/>
        <w:snapToGrid w:val="0"/>
        <w:spacing w:line="36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Cs w:val="21"/>
        </w:rPr>
        <w:t>除了正常的年度每月维保工作还要求</w:t>
      </w:r>
      <w:r>
        <w:rPr>
          <w:rFonts w:hint="eastAsia" w:ascii="宋体" w:hAnsi="宋体" w:eastAsia="宋体" w:cs="宋体"/>
          <w:b/>
          <w:bCs/>
          <w:color w:val="auto"/>
          <w:szCs w:val="21"/>
          <w:lang w:eastAsia="zh-CN"/>
        </w:rPr>
        <w:t>：（</w:t>
      </w:r>
      <w:r>
        <w:rPr>
          <w:rFonts w:hint="eastAsia" w:ascii="宋体" w:hAnsi="宋体" w:eastAsia="宋体" w:cs="宋体"/>
          <w:b/>
          <w:bCs/>
          <w:color w:val="auto"/>
          <w:szCs w:val="21"/>
          <w:lang w:val="en-US" w:eastAsia="zh-CN"/>
        </w:rPr>
        <w:t>1</w:t>
      </w:r>
      <w:r>
        <w:rPr>
          <w:rFonts w:hint="eastAsia" w:ascii="宋体" w:hAnsi="宋体" w:eastAsia="宋体" w:cs="宋体"/>
          <w:b/>
          <w:bCs/>
          <w:color w:val="auto"/>
          <w:szCs w:val="21"/>
          <w:lang w:eastAsia="zh-CN"/>
        </w:rPr>
        <w:t>）</w:t>
      </w:r>
      <w:r>
        <w:rPr>
          <w:rFonts w:hint="eastAsia" w:ascii="宋体" w:hAnsi="宋体" w:eastAsia="宋体" w:cs="宋体"/>
          <w:b/>
          <w:bCs/>
          <w:color w:val="auto"/>
          <w:szCs w:val="21"/>
        </w:rPr>
        <w:t>合同总价5%范围内的维修及耗材维保单位负责。</w:t>
      </w:r>
      <w:r>
        <w:rPr>
          <w:rFonts w:hint="eastAsia" w:ascii="宋体" w:hAnsi="宋体" w:eastAsia="宋体" w:cs="宋体"/>
          <w:b/>
          <w:bCs/>
          <w:color w:val="auto"/>
          <w:szCs w:val="21"/>
          <w:lang w:eastAsia="zh-CN"/>
        </w:rPr>
        <w:t>（</w:t>
      </w:r>
      <w:r>
        <w:rPr>
          <w:rFonts w:hint="eastAsia" w:ascii="宋体" w:hAnsi="宋体" w:eastAsia="宋体" w:cs="宋体"/>
          <w:b/>
          <w:bCs/>
          <w:color w:val="auto"/>
          <w:szCs w:val="21"/>
          <w:lang w:val="en-US" w:eastAsia="zh-CN"/>
        </w:rPr>
        <w:t>2</w:t>
      </w:r>
      <w:r>
        <w:rPr>
          <w:rFonts w:hint="eastAsia" w:ascii="宋体" w:hAnsi="宋体" w:eastAsia="宋体" w:cs="宋体"/>
          <w:b/>
          <w:bCs/>
          <w:color w:val="auto"/>
          <w:szCs w:val="21"/>
          <w:lang w:eastAsia="zh-CN"/>
        </w:rPr>
        <w:t>）</w:t>
      </w:r>
      <w:r>
        <w:rPr>
          <w:rFonts w:hint="eastAsia" w:ascii="宋体" w:hAnsi="宋体" w:eastAsia="宋体" w:cs="宋体"/>
          <w:b/>
          <w:bCs/>
          <w:color w:val="auto"/>
          <w:szCs w:val="21"/>
        </w:rPr>
        <w:t>除了正常的维保工作，还需要对所有设备进行一次全面检测，并出具检测报告</w:t>
      </w:r>
      <w:r>
        <w:rPr>
          <w:rFonts w:hint="eastAsia" w:ascii="宋体" w:hAnsi="宋体" w:eastAsia="宋体" w:cs="宋体"/>
          <w:b/>
          <w:bCs/>
          <w:color w:val="auto"/>
          <w:szCs w:val="21"/>
          <w:lang w:eastAsia="zh-CN"/>
        </w:rPr>
        <w:t>。</w:t>
      </w:r>
    </w:p>
    <w:p w14:paraId="3E2DE190">
      <w:pPr>
        <w:keepNext w:val="0"/>
        <w:keepLines w:val="0"/>
        <w:pageBreakBefore w:val="0"/>
        <w:widowControl w:val="0"/>
        <w:kinsoku/>
        <w:wordWrap/>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7.合同履行期限：服务期限为一年，其中：前三个月为试用期，试用期满须经</w:t>
      </w:r>
      <w:r>
        <w:rPr>
          <w:rFonts w:hint="eastAsia" w:ascii="宋体" w:hAnsi="宋体" w:cs="宋体"/>
          <w:color w:val="auto"/>
          <w:sz w:val="21"/>
          <w:szCs w:val="21"/>
          <w:lang w:val="en-US" w:eastAsia="zh-CN"/>
        </w:rPr>
        <w:t>采购人</w:t>
      </w:r>
      <w:r>
        <w:rPr>
          <w:rFonts w:hint="eastAsia" w:ascii="宋体" w:hAnsi="宋体" w:eastAsia="宋体" w:cs="宋体"/>
          <w:color w:val="auto"/>
          <w:sz w:val="21"/>
          <w:szCs w:val="21"/>
        </w:rPr>
        <w:t>考核，考核不合格，</w:t>
      </w:r>
      <w:r>
        <w:rPr>
          <w:rFonts w:hint="eastAsia" w:ascii="宋体" w:hAnsi="宋体" w:cs="宋体"/>
          <w:color w:val="auto"/>
          <w:sz w:val="21"/>
          <w:szCs w:val="21"/>
          <w:lang w:val="en-US" w:eastAsia="zh-CN"/>
        </w:rPr>
        <w:t>采购人</w:t>
      </w:r>
      <w:r>
        <w:rPr>
          <w:rFonts w:hint="eastAsia" w:ascii="宋体" w:hAnsi="宋体" w:eastAsia="宋体" w:cs="宋体"/>
          <w:color w:val="auto"/>
          <w:sz w:val="21"/>
          <w:szCs w:val="21"/>
        </w:rPr>
        <w:t>有权解除合同。</w:t>
      </w:r>
    </w:p>
    <w:p w14:paraId="59C71B1D">
      <w:pPr>
        <w:keepNext w:val="0"/>
        <w:keepLines w:val="0"/>
        <w:pageBreakBefore w:val="0"/>
        <w:widowControl w:val="0"/>
        <w:kinsoku/>
        <w:wordWrap/>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rPr>
        <w:t>8.本项</w:t>
      </w:r>
      <w:r>
        <w:rPr>
          <w:rFonts w:hint="eastAsia" w:ascii="宋体" w:hAnsi="宋体" w:eastAsia="宋体" w:cs="宋体"/>
          <w:color w:val="auto"/>
          <w:sz w:val="21"/>
          <w:szCs w:val="21"/>
          <w:highlight w:val="none"/>
        </w:rPr>
        <w:t>目不接受联合体。</w:t>
      </w:r>
    </w:p>
    <w:p w14:paraId="1F09F9D8">
      <w:pPr>
        <w:keepNext w:val="0"/>
        <w:keepLines w:val="0"/>
        <w:pageBreakBefore w:val="0"/>
        <w:widowControl w:val="0"/>
        <w:kinsoku/>
        <w:wordWrap/>
        <w:topLinePunct w:val="0"/>
        <w:autoSpaceDE/>
        <w:autoSpaceDN/>
        <w:bidi w:val="0"/>
        <w:adjustRightInd w:val="0"/>
        <w:spacing w:line="360" w:lineRule="exact"/>
        <w:ind w:firstLine="424" w:firstLineChars="201"/>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 xml:space="preserve">二、申请人的资格要求 </w:t>
      </w:r>
    </w:p>
    <w:p w14:paraId="3DC250C4">
      <w:pPr>
        <w:keepNext w:val="0"/>
        <w:keepLines w:val="0"/>
        <w:pageBreakBefore w:val="0"/>
        <w:widowControl w:val="0"/>
        <w:kinsoku/>
        <w:wordWrap/>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1.在中华人民共和</w:t>
      </w:r>
      <w:r>
        <w:rPr>
          <w:rFonts w:hint="eastAsia" w:ascii="宋体" w:hAnsi="宋体" w:eastAsia="宋体" w:cs="宋体"/>
          <w:color w:val="auto"/>
          <w:sz w:val="21"/>
          <w:szCs w:val="21"/>
        </w:rPr>
        <w:t xml:space="preserve">国境内注册，具有独立承担民事责任的能力； </w:t>
      </w:r>
    </w:p>
    <w:p w14:paraId="6A401BC7">
      <w:pPr>
        <w:keepNext w:val="0"/>
        <w:keepLines w:val="0"/>
        <w:pageBreakBefore w:val="0"/>
        <w:widowControl w:val="0"/>
        <w:kinsoku/>
        <w:wordWrap/>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2.具有良好的商业信誉和健全的财务会计制度； </w:t>
      </w:r>
    </w:p>
    <w:p w14:paraId="044578F5">
      <w:pPr>
        <w:keepNext w:val="0"/>
        <w:keepLines w:val="0"/>
        <w:pageBreakBefore w:val="0"/>
        <w:widowControl w:val="0"/>
        <w:kinsoku/>
        <w:wordWrap/>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3.具有履行合同所必需的设备和专业技术能力； </w:t>
      </w:r>
    </w:p>
    <w:p w14:paraId="59DFBCE8">
      <w:pPr>
        <w:keepNext w:val="0"/>
        <w:keepLines w:val="0"/>
        <w:pageBreakBefore w:val="0"/>
        <w:widowControl w:val="0"/>
        <w:kinsoku/>
        <w:wordWrap/>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4.有依法缴纳税收和社会保障资金的良好记录； </w:t>
      </w:r>
    </w:p>
    <w:p w14:paraId="6E5E1542">
      <w:pPr>
        <w:keepNext w:val="0"/>
        <w:keepLines w:val="0"/>
        <w:pageBreakBefore w:val="0"/>
        <w:widowControl w:val="0"/>
        <w:kinsoku/>
        <w:wordWrap/>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5.参加采购活动前三年内，在经营活动中没有重大违法记录； </w:t>
      </w:r>
    </w:p>
    <w:p w14:paraId="4A830672">
      <w:pPr>
        <w:keepNext w:val="0"/>
        <w:keepLines w:val="0"/>
        <w:pageBreakBefore w:val="0"/>
        <w:widowControl w:val="0"/>
        <w:kinsoku/>
        <w:wordWrap/>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6.法律、行政法规规定的其他条件；</w:t>
      </w:r>
    </w:p>
    <w:p w14:paraId="5FD6F3DB">
      <w:pPr>
        <w:keepNext w:val="0"/>
        <w:keepLines w:val="0"/>
        <w:pageBreakBefore w:val="0"/>
        <w:widowControl w:val="0"/>
        <w:kinsoku/>
        <w:wordWrap/>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7.单位负责人为同一人或者存在直接控股、管理关系的不同供应商，不得参加同一合同项下的采购活动；</w:t>
      </w:r>
    </w:p>
    <w:p w14:paraId="2CC5CB28">
      <w:pPr>
        <w:keepNext w:val="0"/>
        <w:keepLines w:val="0"/>
        <w:pageBreakBefore w:val="0"/>
        <w:widowControl w:val="0"/>
        <w:kinsoku/>
        <w:wordWrap/>
        <w:topLinePunct w:val="0"/>
        <w:autoSpaceDE/>
        <w:autoSpaceDN/>
        <w:bidi w:val="0"/>
        <w:spacing w:line="360" w:lineRule="exact"/>
        <w:ind w:firstLine="420" w:firstLineChars="200"/>
        <w:textAlignment w:val="auto"/>
        <w:rPr>
          <w:rFonts w:hint="eastAsia" w:ascii="宋体" w:hAnsi="宋体" w:eastAsia="宋体" w:cs="宋体"/>
          <w:bCs/>
          <w:color w:val="auto"/>
          <w:sz w:val="21"/>
          <w:szCs w:val="21"/>
          <w:lang w:eastAsia="zh-CN"/>
        </w:rPr>
      </w:pPr>
      <w:r>
        <w:rPr>
          <w:rFonts w:hint="eastAsia" w:ascii="宋体" w:hAnsi="宋体" w:eastAsia="宋体" w:cs="宋体"/>
          <w:color w:val="auto"/>
          <w:sz w:val="21"/>
          <w:szCs w:val="21"/>
        </w:rPr>
        <w:t>8.未被“信用中国”网站（www.creditchina.gov.cn）列入失信被执行人、重大税收违法案件当事人名单、严重失信行为记录名单</w:t>
      </w:r>
      <w:r>
        <w:rPr>
          <w:rFonts w:hint="eastAsia" w:ascii="宋体" w:hAnsi="宋体" w:eastAsia="宋体" w:cs="宋体"/>
          <w:color w:val="auto"/>
          <w:sz w:val="21"/>
          <w:szCs w:val="21"/>
          <w:lang w:eastAsia="zh-CN"/>
        </w:rPr>
        <w:t>。</w:t>
      </w:r>
    </w:p>
    <w:p w14:paraId="4B1E62CC">
      <w:pPr>
        <w:keepNext w:val="0"/>
        <w:keepLines w:val="0"/>
        <w:pageBreakBefore w:val="0"/>
        <w:widowControl w:val="0"/>
        <w:kinsoku/>
        <w:wordWrap/>
        <w:topLinePunct w:val="0"/>
        <w:autoSpaceDE/>
        <w:autoSpaceDN/>
        <w:bidi w:val="0"/>
        <w:spacing w:line="360" w:lineRule="exact"/>
        <w:ind w:firstLine="422" w:firstLineChars="200"/>
        <w:textAlignment w:val="auto"/>
        <w:rPr>
          <w:rFonts w:hint="default" w:ascii="宋体" w:hAnsi="宋体" w:cs="宋体"/>
          <w:b/>
          <w:color w:val="auto"/>
          <w:sz w:val="21"/>
          <w:szCs w:val="21"/>
          <w:lang w:val="en-US" w:eastAsia="zh-CN"/>
        </w:rPr>
      </w:pPr>
      <w:r>
        <w:rPr>
          <w:rFonts w:hint="eastAsia" w:ascii="宋体" w:hAnsi="宋体" w:cs="宋体"/>
          <w:b/>
          <w:color w:val="auto"/>
          <w:sz w:val="21"/>
          <w:szCs w:val="21"/>
          <w:lang w:val="en-US" w:eastAsia="zh-CN"/>
        </w:rPr>
        <w:t>9.供应商在江苏省社会消防技术服务信息系统中公示的具有消防设施维护保养检测服务类型。</w:t>
      </w:r>
    </w:p>
    <w:p w14:paraId="79235903">
      <w:pPr>
        <w:keepNext w:val="0"/>
        <w:keepLines w:val="0"/>
        <w:pageBreakBefore w:val="0"/>
        <w:widowControl w:val="0"/>
        <w:kinsoku/>
        <w:wordWrap/>
        <w:topLinePunct w:val="0"/>
        <w:autoSpaceDE/>
        <w:autoSpaceDN/>
        <w:bidi w:val="0"/>
        <w:spacing w:line="360" w:lineRule="exact"/>
        <w:ind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三、获取采购文件</w:t>
      </w:r>
    </w:p>
    <w:p w14:paraId="400612F2">
      <w:pPr>
        <w:keepNext w:val="0"/>
        <w:keepLines w:val="0"/>
        <w:pageBreakBefore w:val="0"/>
        <w:widowControl w:val="0"/>
        <w:kinsoku/>
        <w:wordWrap/>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1.时间：</w:t>
      </w:r>
      <w:r>
        <w:rPr>
          <w:rFonts w:hint="eastAsia" w:ascii="宋体" w:hAnsi="宋体" w:eastAsia="宋体" w:cs="宋体"/>
          <w:bCs/>
          <w:color w:val="auto"/>
          <w:kern w:val="0"/>
          <w:sz w:val="21"/>
          <w:szCs w:val="21"/>
        </w:rPr>
        <w:t>20</w:t>
      </w:r>
      <w:r>
        <w:rPr>
          <w:rFonts w:hint="eastAsia" w:ascii="宋体" w:hAnsi="宋体" w:cs="宋体"/>
          <w:bCs/>
          <w:color w:val="auto"/>
          <w:kern w:val="0"/>
          <w:sz w:val="21"/>
          <w:szCs w:val="21"/>
          <w:lang w:val="en-US" w:eastAsia="zh-CN"/>
        </w:rPr>
        <w:t>25</w:t>
      </w:r>
      <w:r>
        <w:rPr>
          <w:rFonts w:hint="eastAsia" w:ascii="宋体" w:hAnsi="宋体" w:eastAsia="宋体" w:cs="宋体"/>
          <w:bCs/>
          <w:color w:val="auto"/>
          <w:kern w:val="0"/>
          <w:sz w:val="21"/>
          <w:szCs w:val="21"/>
        </w:rPr>
        <w:t>年</w:t>
      </w:r>
      <w:r>
        <w:rPr>
          <w:rFonts w:hint="eastAsia" w:ascii="宋体" w:hAnsi="宋体" w:cs="宋体"/>
          <w:bCs/>
          <w:color w:val="auto"/>
          <w:kern w:val="0"/>
          <w:sz w:val="21"/>
          <w:szCs w:val="21"/>
          <w:lang w:val="en-US" w:eastAsia="zh-CN"/>
        </w:rPr>
        <w:t>12</w:t>
      </w:r>
      <w:r>
        <w:rPr>
          <w:rFonts w:hint="eastAsia" w:ascii="宋体" w:hAnsi="宋体" w:eastAsia="宋体" w:cs="宋体"/>
          <w:bCs/>
          <w:color w:val="auto"/>
          <w:kern w:val="0"/>
          <w:sz w:val="21"/>
          <w:szCs w:val="21"/>
        </w:rPr>
        <w:t>月</w:t>
      </w:r>
      <w:r>
        <w:rPr>
          <w:rFonts w:hint="eastAsia" w:ascii="宋体" w:hAnsi="宋体" w:cs="宋体"/>
          <w:bCs/>
          <w:color w:val="auto"/>
          <w:kern w:val="0"/>
          <w:sz w:val="21"/>
          <w:szCs w:val="21"/>
          <w:lang w:val="en-US" w:eastAsia="zh-CN"/>
        </w:rPr>
        <w:t>25</w:t>
      </w:r>
      <w:r>
        <w:rPr>
          <w:rFonts w:hint="eastAsia" w:ascii="宋体" w:hAnsi="宋体" w:eastAsia="宋体" w:cs="宋体"/>
          <w:bCs/>
          <w:color w:val="auto"/>
          <w:kern w:val="0"/>
          <w:sz w:val="21"/>
          <w:szCs w:val="21"/>
        </w:rPr>
        <w:t>日至</w:t>
      </w:r>
      <w:r>
        <w:rPr>
          <w:rFonts w:hint="eastAsia" w:ascii="宋体" w:hAnsi="宋体" w:cs="宋体"/>
          <w:bCs/>
          <w:color w:val="auto"/>
          <w:kern w:val="0"/>
          <w:sz w:val="21"/>
          <w:szCs w:val="21"/>
          <w:lang w:val="en-US" w:eastAsia="zh-CN"/>
        </w:rPr>
        <w:t>12</w:t>
      </w:r>
      <w:r>
        <w:rPr>
          <w:rFonts w:hint="eastAsia" w:ascii="宋体" w:hAnsi="宋体" w:eastAsia="宋体" w:cs="宋体"/>
          <w:bCs/>
          <w:color w:val="auto"/>
          <w:kern w:val="0"/>
          <w:sz w:val="21"/>
          <w:szCs w:val="21"/>
        </w:rPr>
        <w:t>月</w:t>
      </w:r>
      <w:r>
        <w:rPr>
          <w:rFonts w:hint="eastAsia" w:ascii="宋体" w:hAnsi="宋体" w:cs="宋体"/>
          <w:bCs/>
          <w:color w:val="auto"/>
          <w:kern w:val="0"/>
          <w:sz w:val="21"/>
          <w:szCs w:val="21"/>
          <w:lang w:val="en-US" w:eastAsia="zh-CN"/>
        </w:rPr>
        <w:t>30</w:t>
      </w:r>
      <w:r>
        <w:rPr>
          <w:rFonts w:hint="eastAsia" w:ascii="宋体" w:hAnsi="宋体" w:eastAsia="宋体" w:cs="宋体"/>
          <w:bCs/>
          <w:color w:val="auto"/>
          <w:kern w:val="0"/>
          <w:sz w:val="21"/>
          <w:szCs w:val="21"/>
        </w:rPr>
        <w:t>日，</w:t>
      </w:r>
      <w:r>
        <w:rPr>
          <w:rFonts w:hint="eastAsia" w:ascii="宋体" w:hAnsi="宋体" w:eastAsia="宋体" w:cs="宋体"/>
          <w:color w:val="auto"/>
          <w:sz w:val="21"/>
          <w:szCs w:val="21"/>
        </w:rPr>
        <w:t>每天上午8:30至11:30，下午1:30至5:</w:t>
      </w:r>
      <w:r>
        <w:rPr>
          <w:rFonts w:hint="eastAsia" w:ascii="宋体" w:hAnsi="宋体" w:eastAsia="宋体" w:cs="宋体"/>
          <w:color w:val="auto"/>
          <w:sz w:val="21"/>
          <w:szCs w:val="21"/>
          <w:lang w:val="en-US" w:eastAsia="zh-CN"/>
        </w:rPr>
        <w:t>00</w:t>
      </w:r>
      <w:r>
        <w:rPr>
          <w:rFonts w:hint="eastAsia" w:ascii="宋体" w:hAnsi="宋体" w:eastAsia="宋体" w:cs="宋体"/>
          <w:color w:val="auto"/>
          <w:sz w:val="21"/>
          <w:szCs w:val="21"/>
        </w:rPr>
        <w:t>（北京时间，法定节假日除外）</w:t>
      </w:r>
    </w:p>
    <w:p w14:paraId="64AC2DFF">
      <w:pPr>
        <w:keepNext w:val="0"/>
        <w:keepLines w:val="0"/>
        <w:pageBreakBefore w:val="0"/>
        <w:widowControl w:val="0"/>
        <w:kinsoku/>
        <w:wordWrap/>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2.地点：</w:t>
      </w:r>
      <w:r>
        <w:rPr>
          <w:rFonts w:hint="eastAsia" w:ascii="宋体" w:hAnsi="宋体" w:eastAsia="宋体" w:cs="宋体"/>
          <w:color w:val="auto"/>
          <w:kern w:val="0"/>
          <w:sz w:val="21"/>
          <w:szCs w:val="21"/>
        </w:rPr>
        <w:t>常州市城投建设工程招标有限公</w:t>
      </w:r>
      <w:bookmarkStart w:id="0" w:name="_GoBack"/>
      <w:bookmarkEnd w:id="0"/>
      <w:r>
        <w:rPr>
          <w:rFonts w:hint="eastAsia" w:ascii="宋体" w:hAnsi="宋体" w:eastAsia="宋体" w:cs="宋体"/>
          <w:color w:val="auto"/>
          <w:kern w:val="0"/>
          <w:sz w:val="21"/>
          <w:szCs w:val="21"/>
        </w:rPr>
        <w:t>司（常州市新北区通江中路396号中创大厦4楼）</w:t>
      </w:r>
      <w:r>
        <w:rPr>
          <w:rFonts w:hint="eastAsia" w:ascii="宋体" w:hAnsi="宋体" w:eastAsia="宋体" w:cs="宋体"/>
          <w:color w:val="auto"/>
          <w:sz w:val="21"/>
          <w:szCs w:val="21"/>
        </w:rPr>
        <w:t xml:space="preserve"> </w:t>
      </w:r>
    </w:p>
    <w:p w14:paraId="532D6E52">
      <w:pPr>
        <w:keepNext w:val="0"/>
        <w:keepLines w:val="0"/>
        <w:pageBreakBefore w:val="0"/>
        <w:widowControl w:val="0"/>
        <w:kinsoku/>
        <w:wordWrap/>
        <w:topLinePunct w:val="0"/>
        <w:autoSpaceDE/>
        <w:autoSpaceDN/>
        <w:bidi w:val="0"/>
        <w:spacing w:line="360" w:lineRule="exact"/>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rPr>
        <w:t>3.方式：</w:t>
      </w:r>
    </w:p>
    <w:p w14:paraId="7CA86ED6">
      <w:pPr>
        <w:keepNext w:val="0"/>
        <w:keepLines w:val="0"/>
        <w:pageBreakBefore w:val="0"/>
        <w:widowControl w:val="0"/>
        <w:kinsoku/>
        <w:wordWrap/>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①现金现场缴纳;②扫描常州市城投建设工程招标有限公司付款码并备注单位名称;③银行电汇或转账至常州市城投建设工程招标有限公司账户。咨询电话：0519-81580101。</w:t>
      </w:r>
    </w:p>
    <w:p w14:paraId="7A119AB8">
      <w:pPr>
        <w:keepNext w:val="0"/>
        <w:keepLines w:val="0"/>
        <w:pageBreakBefore w:val="0"/>
        <w:widowControl w:val="0"/>
        <w:kinsoku/>
        <w:wordWrap/>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收款单位：常州市城投建设工程招标有限公司</w:t>
      </w:r>
    </w:p>
    <w:p w14:paraId="3F91F3ED">
      <w:pPr>
        <w:keepNext w:val="0"/>
        <w:keepLines w:val="0"/>
        <w:pageBreakBefore w:val="0"/>
        <w:widowControl w:val="0"/>
        <w:kinsoku/>
        <w:wordWrap/>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开户银行：中国建设银行常州大成苑支行</w:t>
      </w:r>
    </w:p>
    <w:p w14:paraId="5057B853">
      <w:pPr>
        <w:keepNext w:val="0"/>
        <w:keepLines w:val="0"/>
        <w:pageBreakBefore w:val="0"/>
        <w:widowControl w:val="0"/>
        <w:kinsoku/>
        <w:wordWrap/>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银行账号：32001624236052500905</w:t>
      </w:r>
    </w:p>
    <w:p w14:paraId="2FCBA116">
      <w:pPr>
        <w:keepNext w:val="0"/>
        <w:keepLines w:val="0"/>
        <w:pageBreakBefore w:val="0"/>
        <w:widowControl w:val="0"/>
        <w:kinsoku/>
        <w:wordWrap/>
        <w:topLinePunct w:val="0"/>
        <w:autoSpaceDE/>
        <w:autoSpaceDN/>
        <w:bidi w:val="0"/>
        <w:spacing w:line="360" w:lineRule="exact"/>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rPr>
        <w:t>4.售价：</w:t>
      </w:r>
      <w:r>
        <w:rPr>
          <w:rFonts w:hint="eastAsia" w:ascii="宋体" w:hAnsi="宋体" w:eastAsia="宋体" w:cs="宋体"/>
          <w:color w:val="auto"/>
          <w:kern w:val="0"/>
          <w:sz w:val="21"/>
          <w:szCs w:val="21"/>
        </w:rPr>
        <w:t>人民币</w:t>
      </w:r>
      <w:r>
        <w:rPr>
          <w:rFonts w:hint="eastAsia" w:ascii="宋体" w:hAnsi="宋体" w:eastAsia="宋体" w:cs="宋体"/>
          <w:color w:val="auto"/>
          <w:kern w:val="0"/>
          <w:sz w:val="21"/>
          <w:szCs w:val="21"/>
          <w:lang w:val="en-US" w:eastAsia="zh-CN"/>
        </w:rPr>
        <w:t>贰佰</w:t>
      </w:r>
      <w:r>
        <w:rPr>
          <w:rFonts w:hint="eastAsia" w:ascii="宋体" w:hAnsi="宋体" w:eastAsia="宋体" w:cs="宋体"/>
          <w:color w:val="auto"/>
          <w:kern w:val="0"/>
          <w:sz w:val="21"/>
          <w:szCs w:val="21"/>
        </w:rPr>
        <w:t>元整</w:t>
      </w:r>
    </w:p>
    <w:p w14:paraId="498B82B8">
      <w:pPr>
        <w:keepNext w:val="0"/>
        <w:keepLines w:val="0"/>
        <w:pageBreakBefore w:val="0"/>
        <w:widowControl w:val="0"/>
        <w:kinsoku/>
        <w:wordWrap/>
        <w:topLinePunct w:val="0"/>
        <w:autoSpaceDE/>
        <w:autoSpaceDN/>
        <w:bidi w:val="0"/>
        <w:spacing w:line="360" w:lineRule="exact"/>
        <w:ind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四、响应文件提交</w:t>
      </w:r>
    </w:p>
    <w:p w14:paraId="3B9F8BF1">
      <w:pPr>
        <w:keepNext w:val="0"/>
        <w:keepLines w:val="0"/>
        <w:pageBreakBefore w:val="0"/>
        <w:widowControl w:val="0"/>
        <w:kinsoku/>
        <w:wordWrap/>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截止时间：</w:t>
      </w:r>
      <w:r>
        <w:rPr>
          <w:rFonts w:hint="eastAsia" w:ascii="宋体" w:hAnsi="宋体" w:cs="宋体"/>
          <w:b/>
          <w:bCs/>
          <w:color w:val="auto"/>
          <w:sz w:val="21"/>
          <w:szCs w:val="21"/>
          <w:highlight w:val="none"/>
          <w:lang w:val="en-US" w:eastAsia="zh-CN"/>
        </w:rPr>
        <w:t>2025</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lang w:val="en-US" w:eastAsia="zh-CN"/>
        </w:rPr>
        <w:t>12</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lang w:val="en-US" w:eastAsia="zh-CN"/>
        </w:rPr>
        <w:t>31</w:t>
      </w:r>
      <w:r>
        <w:rPr>
          <w:rFonts w:hint="eastAsia" w:ascii="宋体" w:hAnsi="宋体" w:eastAsia="宋体" w:cs="宋体"/>
          <w:b/>
          <w:bCs/>
          <w:color w:val="auto"/>
          <w:sz w:val="21"/>
          <w:szCs w:val="21"/>
          <w:highlight w:val="none"/>
        </w:rPr>
        <w:t>日</w:t>
      </w:r>
      <w:r>
        <w:rPr>
          <w:rFonts w:hint="eastAsia" w:ascii="宋体" w:hAnsi="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rPr>
        <w:t>点</w:t>
      </w:r>
      <w:r>
        <w:rPr>
          <w:rFonts w:hint="eastAsia" w:ascii="宋体" w:hAnsi="宋体" w:cs="宋体"/>
          <w:b/>
          <w:bCs/>
          <w:color w:val="auto"/>
          <w:sz w:val="21"/>
          <w:szCs w:val="21"/>
          <w:highlight w:val="none"/>
          <w:lang w:val="en-US" w:eastAsia="zh-CN"/>
        </w:rPr>
        <w:t>00</w:t>
      </w:r>
      <w:r>
        <w:rPr>
          <w:rFonts w:hint="eastAsia" w:ascii="宋体" w:hAnsi="宋体" w:eastAsia="宋体" w:cs="宋体"/>
          <w:b/>
          <w:bCs/>
          <w:color w:val="auto"/>
          <w:sz w:val="21"/>
          <w:szCs w:val="21"/>
          <w:highlight w:val="none"/>
        </w:rPr>
        <w:t>分（北京时间）</w:t>
      </w:r>
    </w:p>
    <w:p w14:paraId="05546FFD">
      <w:pPr>
        <w:keepNext w:val="0"/>
        <w:keepLines w:val="0"/>
        <w:pageBreakBefore w:val="0"/>
        <w:widowControl w:val="0"/>
        <w:kinsoku/>
        <w:wordWrap/>
        <w:topLinePunct w:val="0"/>
        <w:autoSpaceDE/>
        <w:autoSpaceDN/>
        <w:bidi w:val="0"/>
        <w:spacing w:line="360" w:lineRule="exact"/>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rPr>
        <w:t>地点：常州市城投建设工程招标有限公司（常州市新北区通江中路396号中创大厦4楼）</w:t>
      </w:r>
    </w:p>
    <w:p w14:paraId="12743C39">
      <w:pPr>
        <w:keepNext w:val="0"/>
        <w:keepLines w:val="0"/>
        <w:pageBreakBefore w:val="0"/>
        <w:widowControl w:val="0"/>
        <w:kinsoku/>
        <w:wordWrap/>
        <w:topLinePunct w:val="0"/>
        <w:autoSpaceDE/>
        <w:autoSpaceDN/>
        <w:bidi w:val="0"/>
        <w:spacing w:line="360" w:lineRule="exact"/>
        <w:ind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五、开启</w:t>
      </w:r>
    </w:p>
    <w:p w14:paraId="57389BA8">
      <w:pPr>
        <w:keepNext w:val="0"/>
        <w:keepLines w:val="0"/>
        <w:pageBreakBefore w:val="0"/>
        <w:widowControl w:val="0"/>
        <w:kinsoku/>
        <w:wordWrap/>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时间：</w:t>
      </w:r>
      <w:r>
        <w:rPr>
          <w:rFonts w:hint="eastAsia" w:ascii="宋体" w:hAnsi="宋体" w:cs="宋体"/>
          <w:b/>
          <w:bCs/>
          <w:color w:val="auto"/>
          <w:sz w:val="21"/>
          <w:szCs w:val="21"/>
          <w:highlight w:val="none"/>
          <w:lang w:val="en-US" w:eastAsia="zh-CN"/>
        </w:rPr>
        <w:t>2025</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lang w:val="en-US" w:eastAsia="zh-CN"/>
        </w:rPr>
        <w:t>12</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lang w:val="en-US" w:eastAsia="zh-CN"/>
        </w:rPr>
        <w:t>31</w:t>
      </w:r>
      <w:r>
        <w:rPr>
          <w:rFonts w:hint="eastAsia" w:ascii="宋体" w:hAnsi="宋体" w:eastAsia="宋体" w:cs="宋体"/>
          <w:b/>
          <w:bCs/>
          <w:color w:val="auto"/>
          <w:sz w:val="21"/>
          <w:szCs w:val="21"/>
          <w:highlight w:val="none"/>
        </w:rPr>
        <w:t>日</w:t>
      </w:r>
      <w:r>
        <w:rPr>
          <w:rFonts w:hint="eastAsia" w:ascii="宋体" w:hAnsi="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rPr>
        <w:t>点</w:t>
      </w:r>
      <w:r>
        <w:rPr>
          <w:rFonts w:hint="eastAsia" w:ascii="宋体" w:hAnsi="宋体" w:cs="宋体"/>
          <w:b/>
          <w:bCs/>
          <w:color w:val="auto"/>
          <w:sz w:val="21"/>
          <w:szCs w:val="21"/>
          <w:highlight w:val="none"/>
          <w:lang w:val="en-US" w:eastAsia="zh-CN"/>
        </w:rPr>
        <w:t>00</w:t>
      </w:r>
      <w:r>
        <w:rPr>
          <w:rFonts w:hint="eastAsia" w:ascii="宋体" w:hAnsi="宋体" w:eastAsia="宋体" w:cs="宋体"/>
          <w:b/>
          <w:bCs/>
          <w:color w:val="auto"/>
          <w:sz w:val="21"/>
          <w:szCs w:val="21"/>
          <w:highlight w:val="none"/>
        </w:rPr>
        <w:t>分（北京时间）</w:t>
      </w:r>
    </w:p>
    <w:p w14:paraId="67781F1C">
      <w:pPr>
        <w:keepNext w:val="0"/>
        <w:keepLines w:val="0"/>
        <w:pageBreakBefore w:val="0"/>
        <w:widowControl w:val="0"/>
        <w:kinsoku/>
        <w:wordWrap/>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地点：常州市城投建设工程招标有限公司（常州市新北区通江中路396号中创大厦4楼）</w:t>
      </w:r>
    </w:p>
    <w:p w14:paraId="219CD663">
      <w:pPr>
        <w:keepNext w:val="0"/>
        <w:keepLines w:val="0"/>
        <w:pageBreakBefore w:val="0"/>
        <w:widowControl w:val="0"/>
        <w:kinsoku/>
        <w:wordWrap/>
        <w:topLinePunct w:val="0"/>
        <w:autoSpaceDE/>
        <w:autoSpaceDN/>
        <w:bidi w:val="0"/>
        <w:spacing w:line="360" w:lineRule="exact"/>
        <w:ind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六、公告期限</w:t>
      </w:r>
    </w:p>
    <w:p w14:paraId="0C6DD52E">
      <w:pPr>
        <w:keepNext w:val="0"/>
        <w:keepLines w:val="0"/>
        <w:pageBreakBefore w:val="0"/>
        <w:widowControl w:val="0"/>
        <w:kinsoku/>
        <w:wordWrap/>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自本公告发布之日起3个工作日。</w:t>
      </w:r>
    </w:p>
    <w:p w14:paraId="0C4CAF48">
      <w:pPr>
        <w:keepNext w:val="0"/>
        <w:keepLines w:val="0"/>
        <w:pageBreakBefore w:val="0"/>
        <w:widowControl w:val="0"/>
        <w:kinsoku/>
        <w:wordWrap/>
        <w:topLinePunct w:val="0"/>
        <w:autoSpaceDE/>
        <w:autoSpaceDN/>
        <w:bidi w:val="0"/>
        <w:spacing w:line="360" w:lineRule="exact"/>
        <w:ind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七、其他补充事宜</w:t>
      </w:r>
    </w:p>
    <w:p w14:paraId="2F87AA16">
      <w:pPr>
        <w:keepNext w:val="0"/>
        <w:keepLines w:val="0"/>
        <w:pageBreakBefore w:val="0"/>
        <w:widowControl w:val="0"/>
        <w:kinsoku/>
        <w:wordWrap/>
        <w:topLinePunct w:val="0"/>
        <w:autoSpaceDE/>
        <w:autoSpaceDN/>
        <w:bidi w:val="0"/>
        <w:spacing w:line="360" w:lineRule="exact"/>
        <w:ind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1.现场踏勘及标前答疑</w:t>
      </w:r>
    </w:p>
    <w:p w14:paraId="112C314F">
      <w:pPr>
        <w:keepNext w:val="0"/>
        <w:keepLines w:val="0"/>
        <w:pageBreakBefore w:val="0"/>
        <w:widowControl w:val="0"/>
        <w:kinsoku/>
        <w:wordWrap/>
        <w:topLinePunct w:val="0"/>
        <w:autoSpaceDE/>
        <w:autoSpaceDN/>
        <w:bidi w:val="0"/>
        <w:spacing w:line="360" w:lineRule="exact"/>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（1）供应商自行踏勘现场。</w:t>
      </w:r>
    </w:p>
    <w:p w14:paraId="2A1A7555">
      <w:pPr>
        <w:keepNext w:val="0"/>
        <w:keepLines w:val="0"/>
        <w:pageBreakBefore w:val="0"/>
        <w:widowControl w:val="0"/>
        <w:kinsoku/>
        <w:wordWrap/>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rPr>
        <w:t>（2）</w:t>
      </w:r>
      <w:r>
        <w:rPr>
          <w:rFonts w:hint="eastAsia" w:ascii="宋体" w:hAnsi="宋体" w:eastAsia="宋体" w:cs="宋体"/>
          <w:color w:val="auto"/>
          <w:sz w:val="21"/>
          <w:szCs w:val="21"/>
        </w:rPr>
        <w:t>标前答疑</w:t>
      </w:r>
    </w:p>
    <w:p w14:paraId="795CDEFE">
      <w:pPr>
        <w:keepNext w:val="0"/>
        <w:keepLines w:val="0"/>
        <w:pageBreakBefore w:val="0"/>
        <w:widowControl w:val="0"/>
        <w:kinsoku/>
        <w:wordWrap/>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rPr>
        <w:t>供应商对询价文件如</w:t>
      </w:r>
      <w:r>
        <w:rPr>
          <w:rFonts w:hint="eastAsia" w:ascii="宋体" w:hAnsi="宋体" w:eastAsia="宋体" w:cs="宋体"/>
          <w:color w:val="auto"/>
          <w:sz w:val="21"/>
          <w:szCs w:val="21"/>
          <w:highlight w:val="none"/>
        </w:rPr>
        <w:t>有疑问，请将疑问于响应文件提交截止前以书面形式提交或传真至常州市城投建设工程招标有限公司。传真:0519-81580105，邮箱：czctzb@163.com</w:t>
      </w:r>
    </w:p>
    <w:p w14:paraId="374A522C">
      <w:pPr>
        <w:keepNext w:val="0"/>
        <w:keepLines w:val="0"/>
        <w:pageBreakBefore w:val="0"/>
        <w:widowControl w:val="0"/>
        <w:kinsoku/>
        <w:wordWrap/>
        <w:topLinePunct w:val="0"/>
        <w:autoSpaceDE/>
        <w:autoSpaceDN/>
        <w:bidi w:val="0"/>
        <w:spacing w:line="360" w:lineRule="exac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highlight w:val="none"/>
        </w:rPr>
        <w:t>2.询价文件售后一概不退。供应</w:t>
      </w:r>
      <w:r>
        <w:rPr>
          <w:rFonts w:hint="eastAsia" w:ascii="宋体" w:hAnsi="宋体" w:eastAsia="宋体" w:cs="宋体"/>
          <w:b/>
          <w:bCs/>
          <w:color w:val="auto"/>
          <w:sz w:val="21"/>
          <w:szCs w:val="21"/>
        </w:rPr>
        <w:t>商提交的询价响应文件概不退还。一经领购，供应商不得更改单位名称。</w:t>
      </w:r>
    </w:p>
    <w:p w14:paraId="5F397B4A">
      <w:pPr>
        <w:keepNext w:val="0"/>
        <w:keepLines w:val="0"/>
        <w:pageBreakBefore w:val="0"/>
        <w:widowControl w:val="0"/>
        <w:kinsoku/>
        <w:wordWrap/>
        <w:topLinePunct w:val="0"/>
        <w:autoSpaceDE/>
        <w:autoSpaceDN/>
        <w:bidi w:val="0"/>
        <w:spacing w:line="360" w:lineRule="exact"/>
        <w:ind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八、凡对本次采购提出询问，请按以下方式联系。</w:t>
      </w:r>
    </w:p>
    <w:p w14:paraId="69F92C18">
      <w:pPr>
        <w:keepNext w:val="0"/>
        <w:keepLines w:val="0"/>
        <w:pageBreakBefore w:val="0"/>
        <w:widowControl w:val="0"/>
        <w:kinsoku/>
        <w:wordWrap/>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1.采购人信息</w:t>
      </w:r>
    </w:p>
    <w:p w14:paraId="59ED5F18">
      <w:pPr>
        <w:keepNext w:val="0"/>
        <w:keepLines w:val="0"/>
        <w:pageBreakBefore w:val="0"/>
        <w:widowControl w:val="0"/>
        <w:kinsoku/>
        <w:wordWrap/>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名    称：江苏常州经济开发区公共文化服务中心　　　　　　　　　　　　</w:t>
      </w:r>
    </w:p>
    <w:p w14:paraId="7C7C9C91">
      <w:pPr>
        <w:keepNext w:val="0"/>
        <w:keepLines w:val="0"/>
        <w:pageBreakBefore w:val="0"/>
        <w:widowControl w:val="0"/>
        <w:kinsoku/>
        <w:wordWrap/>
        <w:topLinePunct w:val="0"/>
        <w:autoSpaceDE/>
        <w:autoSpaceDN/>
        <w:bidi w:val="0"/>
        <w:snapToGrid w:val="0"/>
        <w:spacing w:line="360" w:lineRule="exact"/>
        <w:ind w:firstLine="420" w:firstLineChars="200"/>
        <w:textAlignment w:val="auto"/>
        <w:rPr>
          <w:rFonts w:hint="eastAsia" w:ascii="宋体" w:hAnsi="宋体" w:eastAsia="宋体" w:cs="宋体"/>
          <w:color w:val="auto"/>
          <w:spacing w:val="2"/>
          <w:sz w:val="21"/>
          <w:szCs w:val="21"/>
          <w:highlight w:val="none"/>
        </w:rPr>
      </w:pPr>
      <w:r>
        <w:rPr>
          <w:rFonts w:hint="eastAsia" w:ascii="宋体" w:hAnsi="宋体" w:eastAsia="宋体" w:cs="宋体"/>
          <w:color w:val="auto"/>
          <w:sz w:val="21"/>
          <w:szCs w:val="21"/>
        </w:rPr>
        <w:t>地    址：江苏</w:t>
      </w:r>
      <w:r>
        <w:rPr>
          <w:rFonts w:hint="eastAsia" w:ascii="宋体" w:hAnsi="宋体" w:eastAsia="宋体" w:cs="宋体"/>
          <w:color w:val="auto"/>
          <w:sz w:val="21"/>
          <w:szCs w:val="21"/>
          <w:highlight w:val="none"/>
        </w:rPr>
        <w:t>省常州市东方东路168号</w:t>
      </w:r>
    </w:p>
    <w:p w14:paraId="738D59D5">
      <w:pPr>
        <w:keepNext w:val="0"/>
        <w:keepLines w:val="0"/>
        <w:pageBreakBefore w:val="0"/>
        <w:widowControl w:val="0"/>
        <w:kinsoku/>
        <w:wordWrap/>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联系方式：蒋玉皎　0519-89863725　　　　　 　　　 </w:t>
      </w:r>
    </w:p>
    <w:p w14:paraId="08E74429">
      <w:pPr>
        <w:keepNext w:val="0"/>
        <w:keepLines w:val="0"/>
        <w:pageBreakBefore w:val="0"/>
        <w:widowControl w:val="0"/>
        <w:kinsoku/>
        <w:wordWrap/>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2.采购代理机构信息</w:t>
      </w:r>
    </w:p>
    <w:p w14:paraId="3AC8D3F7">
      <w:pPr>
        <w:keepNext w:val="0"/>
        <w:keepLines w:val="0"/>
        <w:pageBreakBefore w:val="0"/>
        <w:widowControl w:val="0"/>
        <w:kinsoku/>
        <w:wordWrap/>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名    称：常州市城投建设工程招标有限公司　　　　　　　　　　　　</w:t>
      </w:r>
    </w:p>
    <w:p w14:paraId="0013FE7F">
      <w:pPr>
        <w:keepNext w:val="0"/>
        <w:keepLines w:val="0"/>
        <w:pageBreakBefore w:val="0"/>
        <w:widowControl w:val="0"/>
        <w:kinsoku/>
        <w:wordWrap/>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地　　址：</w:t>
      </w:r>
      <w:r>
        <w:rPr>
          <w:rFonts w:hint="eastAsia" w:ascii="宋体" w:hAnsi="宋体" w:eastAsia="宋体" w:cs="宋体"/>
          <w:color w:val="auto"/>
          <w:kern w:val="0"/>
          <w:sz w:val="21"/>
          <w:szCs w:val="21"/>
        </w:rPr>
        <w:t>常州市新北区通江中路396号中创大厦4楼</w:t>
      </w:r>
      <w:r>
        <w:rPr>
          <w:rFonts w:hint="eastAsia" w:ascii="宋体" w:hAnsi="宋体" w:eastAsia="宋体" w:cs="宋体"/>
          <w:color w:val="auto"/>
          <w:sz w:val="21"/>
          <w:szCs w:val="21"/>
        </w:rPr>
        <w:t>　　　　　　　　　　　　</w:t>
      </w:r>
    </w:p>
    <w:p w14:paraId="7E5D7B94">
      <w:pPr>
        <w:keepNext w:val="0"/>
        <w:keepLines w:val="0"/>
        <w:pageBreakBefore w:val="0"/>
        <w:widowControl w:val="0"/>
        <w:kinsoku/>
        <w:wordWrap/>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联系方式：0519-81580101　　　　　　　　　　　　</w:t>
      </w:r>
    </w:p>
    <w:p w14:paraId="5A8B353A">
      <w:pPr>
        <w:keepNext w:val="0"/>
        <w:keepLines w:val="0"/>
        <w:pageBreakBefore w:val="0"/>
        <w:widowControl w:val="0"/>
        <w:kinsoku/>
        <w:wordWrap/>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3.项目联系方式</w:t>
      </w:r>
    </w:p>
    <w:p w14:paraId="777C9F30">
      <w:pPr>
        <w:keepNext w:val="0"/>
        <w:keepLines w:val="0"/>
        <w:pageBreakBefore w:val="0"/>
        <w:widowControl w:val="0"/>
        <w:kinsoku/>
        <w:wordWrap/>
        <w:topLinePunct w:val="0"/>
        <w:autoSpaceDE/>
        <w:autoSpaceDN/>
        <w:bidi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项目联系人：</w:t>
      </w:r>
      <w:r>
        <w:rPr>
          <w:rFonts w:hint="eastAsia" w:ascii="宋体" w:hAnsi="宋体" w:eastAsia="宋体" w:cs="宋体"/>
          <w:color w:val="auto"/>
          <w:sz w:val="21"/>
          <w:szCs w:val="21"/>
          <w:lang w:val="en-US" w:eastAsia="zh-CN"/>
        </w:rPr>
        <w:t>魏海玲</w:t>
      </w:r>
    </w:p>
    <w:p w14:paraId="6BE73D1F">
      <w:pPr>
        <w:keepNext w:val="0"/>
        <w:keepLines w:val="0"/>
        <w:pageBreakBefore w:val="0"/>
        <w:widowControl w:val="0"/>
        <w:kinsoku/>
        <w:wordWrap/>
        <w:overflowPunct w:val="0"/>
        <w:topLinePunct w:val="0"/>
        <w:autoSpaceDE/>
        <w:autoSpaceDN/>
        <w:bidi w:val="0"/>
        <w:spacing w:line="360" w:lineRule="exact"/>
        <w:ind w:firstLine="420" w:firstLineChars="200"/>
        <w:textAlignment w:val="auto"/>
        <w:rPr>
          <w:rFonts w:ascii="仿宋" w:hAnsi="仿宋" w:eastAsia="仿宋"/>
          <w:color w:val="auto"/>
          <w:sz w:val="32"/>
          <w:szCs w:val="32"/>
        </w:rPr>
      </w:pPr>
      <w:r>
        <w:rPr>
          <w:rFonts w:hint="eastAsia" w:ascii="宋体" w:hAnsi="宋体" w:eastAsia="宋体" w:cs="宋体"/>
          <w:color w:val="auto"/>
          <w:sz w:val="21"/>
          <w:szCs w:val="21"/>
        </w:rPr>
        <w:t>电　　 话：0519-81580152  81580191  81580192（转分机号</w:t>
      </w:r>
      <w:r>
        <w:rPr>
          <w:rFonts w:hint="eastAsia" w:ascii="宋体" w:hAnsi="宋体" w:eastAsia="宋体" w:cs="宋体"/>
          <w:color w:val="auto"/>
          <w:sz w:val="21"/>
          <w:szCs w:val="21"/>
          <w:lang w:val="en-US" w:eastAsia="zh-CN"/>
        </w:rPr>
        <w:t>6033</w:t>
      </w:r>
      <w:r>
        <w:rPr>
          <w:rFonts w:hint="eastAsia" w:ascii="宋体" w:hAnsi="宋体" w:eastAsia="宋体" w:cs="宋体"/>
          <w:color w:val="auto"/>
          <w:sz w:val="21"/>
          <w:szCs w:val="21"/>
        </w:rPr>
        <w:t>）</w:t>
      </w:r>
      <w:r>
        <w:rPr>
          <w:rFonts w:hint="eastAsia" w:ascii="仿宋" w:hAnsi="仿宋" w:eastAsia="仿宋"/>
          <w:color w:val="auto"/>
          <w:sz w:val="32"/>
          <w:szCs w:val="32"/>
        </w:rPr>
        <w:t>　</w:t>
      </w:r>
    </w:p>
    <w:p w14:paraId="399EB235">
      <w:pPr>
        <w:pStyle w:val="6"/>
        <w:rPr>
          <w:color w:val="auto"/>
        </w:rPr>
      </w:pPr>
    </w:p>
    <w:p w14:paraId="0CE33296">
      <w:pPr>
        <w:rPr>
          <w:color w:val="auto"/>
        </w:rPr>
      </w:pPr>
    </w:p>
    <w:p w14:paraId="4B54AF3A">
      <w:pPr>
        <w:pStyle w:val="11"/>
        <w:spacing w:line="340" w:lineRule="exact"/>
        <w:jc w:val="center"/>
        <w:rPr>
          <w:rFonts w:hint="eastAsia" w:ascii="宋体" w:hAnsi="宋体" w:eastAsia="宋体" w:cs="宋体"/>
          <w:b/>
          <w:color w:val="auto"/>
          <w:kern w:val="0"/>
          <w:sz w:val="32"/>
          <w:szCs w:val="32"/>
        </w:rPr>
      </w:pPr>
      <w:r>
        <w:rPr>
          <w:b/>
          <w:bCs/>
          <w:color w:val="auto"/>
        </w:rPr>
        <w:br w:type="page"/>
      </w:r>
    </w:p>
    <w:p w14:paraId="7BD2B68D">
      <w:pPr>
        <w:jc w:val="center"/>
        <w:outlineLvl w:val="1"/>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询价通知书</w:t>
      </w:r>
    </w:p>
    <w:p w14:paraId="773F697C">
      <w:pPr>
        <w:snapToGrid w:val="0"/>
        <w:spacing w:line="360" w:lineRule="exact"/>
        <w:ind w:firstLine="420" w:firstLineChars="200"/>
        <w:rPr>
          <w:color w:val="auto"/>
          <w:sz w:val="21"/>
          <w:szCs w:val="21"/>
        </w:rPr>
      </w:pPr>
      <w:r>
        <w:rPr>
          <w:rFonts w:hint="eastAsia" w:ascii="宋体" w:hAnsi="宋体" w:cs="宋体"/>
          <w:color w:val="auto"/>
          <w:szCs w:val="21"/>
        </w:rPr>
        <w:t>常州市城投建设工程招标有限公司受</w:t>
      </w:r>
      <w:r>
        <w:rPr>
          <w:rFonts w:hint="eastAsia" w:ascii="宋体" w:hAnsi="宋体" w:cs="宋体"/>
          <w:color w:val="auto"/>
          <w:szCs w:val="21"/>
          <w:lang w:eastAsia="zh-CN"/>
        </w:rPr>
        <w:t>江苏常州经济开发区公共文化服务中心</w:t>
      </w:r>
      <w:r>
        <w:rPr>
          <w:rFonts w:hint="eastAsia" w:ascii="宋体" w:hAnsi="宋体" w:cs="宋体"/>
          <w:color w:val="auto"/>
          <w:szCs w:val="21"/>
        </w:rPr>
        <w:t>委托，现就其</w:t>
      </w:r>
      <w:r>
        <w:rPr>
          <w:rFonts w:hint="eastAsia" w:ascii="宋体" w:hAnsi="宋体" w:cs="宋体"/>
          <w:color w:val="auto"/>
          <w:szCs w:val="21"/>
          <w:lang w:eastAsia="zh-CN"/>
        </w:rPr>
        <w:t>常州市经开区文化活动中心消防维保服务项目</w:t>
      </w:r>
      <w:r>
        <w:rPr>
          <w:rFonts w:hint="eastAsia" w:ascii="宋体" w:hAnsi="宋体" w:cs="宋体"/>
          <w:color w:val="auto"/>
          <w:szCs w:val="21"/>
        </w:rPr>
        <w:t>进行询价采购，特邀请符合条件的供应商参加。</w:t>
      </w:r>
    </w:p>
    <w:p w14:paraId="57CCC13C">
      <w:pPr>
        <w:widowControl/>
        <w:adjustRightInd w:val="0"/>
        <w:snapToGrid w:val="0"/>
        <w:spacing w:line="360" w:lineRule="exact"/>
        <w:ind w:firstLine="422" w:firstLineChars="200"/>
        <w:jc w:val="left"/>
        <w:rPr>
          <w:rFonts w:ascii="宋体" w:hAnsi="宋体" w:cs="宋体"/>
          <w:b/>
          <w:bCs/>
          <w:color w:val="auto"/>
          <w:kern w:val="0"/>
          <w:szCs w:val="21"/>
        </w:rPr>
      </w:pPr>
      <w:r>
        <w:rPr>
          <w:rFonts w:hint="eastAsia" w:ascii="宋体" w:hAnsi="宋体" w:cs="宋体"/>
          <w:b/>
          <w:bCs/>
          <w:color w:val="auto"/>
          <w:kern w:val="0"/>
          <w:szCs w:val="21"/>
        </w:rPr>
        <w:t>一、项目内容</w:t>
      </w:r>
    </w:p>
    <w:p w14:paraId="11F7E548">
      <w:pPr>
        <w:keepNext w:val="0"/>
        <w:keepLines w:val="0"/>
        <w:pageBreakBefore w:val="0"/>
        <w:widowControl w:val="0"/>
        <w:kinsoku/>
        <w:wordWrap/>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1.项目编号：</w:t>
      </w:r>
    </w:p>
    <w:p w14:paraId="5AD86D51">
      <w:pPr>
        <w:keepNext w:val="0"/>
        <w:keepLines w:val="0"/>
        <w:pageBreakBefore w:val="0"/>
        <w:widowControl w:val="0"/>
        <w:kinsoku/>
        <w:wordWrap/>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2.项目名称：</w:t>
      </w:r>
      <w:r>
        <w:rPr>
          <w:rFonts w:hint="eastAsia" w:ascii="宋体" w:hAnsi="宋体" w:cs="宋体"/>
          <w:color w:val="auto"/>
          <w:sz w:val="21"/>
          <w:szCs w:val="21"/>
          <w:highlight w:val="none"/>
          <w:lang w:eastAsia="zh-CN"/>
        </w:rPr>
        <w:t>常州市经开区文化活动中心消防维保服务项目</w:t>
      </w:r>
    </w:p>
    <w:p w14:paraId="4F0716DC">
      <w:pPr>
        <w:keepNext w:val="0"/>
        <w:keepLines w:val="0"/>
        <w:pageBreakBefore w:val="0"/>
        <w:widowControl w:val="0"/>
        <w:kinsoku/>
        <w:wordWrap/>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3.采购方式：询价</w:t>
      </w:r>
    </w:p>
    <w:p w14:paraId="70AF3C0E">
      <w:pPr>
        <w:keepNext w:val="0"/>
        <w:keepLines w:val="0"/>
        <w:pageBreakBefore w:val="0"/>
        <w:widowControl w:val="0"/>
        <w:kinsoku/>
        <w:wordWrap/>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4.预算金额：</w:t>
      </w:r>
      <w:r>
        <w:rPr>
          <w:rFonts w:hint="eastAsia" w:ascii="宋体" w:hAnsi="宋体" w:cs="宋体"/>
          <w:color w:val="auto"/>
          <w:sz w:val="21"/>
          <w:szCs w:val="21"/>
          <w:highlight w:val="none"/>
          <w:lang w:val="en-US" w:eastAsia="zh-CN"/>
        </w:rPr>
        <w:t>4.5</w:t>
      </w:r>
      <w:r>
        <w:rPr>
          <w:rFonts w:hint="eastAsia" w:ascii="宋体" w:hAnsi="宋体" w:eastAsia="宋体" w:cs="宋体"/>
          <w:color w:val="auto"/>
          <w:sz w:val="21"/>
          <w:szCs w:val="21"/>
          <w:highlight w:val="none"/>
          <w:lang w:val="en-US" w:eastAsia="zh-CN"/>
        </w:rPr>
        <w:t>万</w:t>
      </w:r>
      <w:r>
        <w:rPr>
          <w:rFonts w:hint="eastAsia" w:ascii="宋体" w:hAnsi="宋体" w:eastAsia="宋体" w:cs="宋体"/>
          <w:color w:val="auto"/>
          <w:sz w:val="21"/>
          <w:szCs w:val="21"/>
          <w:highlight w:val="none"/>
        </w:rPr>
        <w:t>元</w:t>
      </w:r>
    </w:p>
    <w:p w14:paraId="6D1228B2">
      <w:pPr>
        <w:keepNext w:val="0"/>
        <w:keepLines w:val="0"/>
        <w:pageBreakBefore w:val="0"/>
        <w:widowControl w:val="0"/>
        <w:kinsoku/>
        <w:wordWrap/>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5.最高限价：</w:t>
      </w:r>
      <w:r>
        <w:rPr>
          <w:rFonts w:hint="eastAsia" w:ascii="宋体" w:hAnsi="宋体" w:cs="宋体"/>
          <w:color w:val="auto"/>
          <w:sz w:val="21"/>
          <w:szCs w:val="21"/>
          <w:highlight w:val="none"/>
          <w:lang w:val="en-US" w:eastAsia="zh-CN"/>
        </w:rPr>
        <w:t>4.5</w:t>
      </w:r>
      <w:r>
        <w:rPr>
          <w:rFonts w:hint="eastAsia" w:ascii="宋体" w:hAnsi="宋体" w:eastAsia="宋体" w:cs="宋体"/>
          <w:color w:val="auto"/>
          <w:sz w:val="21"/>
          <w:szCs w:val="21"/>
          <w:highlight w:val="none"/>
          <w:lang w:val="en-US" w:eastAsia="zh-CN"/>
        </w:rPr>
        <w:t>万</w:t>
      </w:r>
      <w:r>
        <w:rPr>
          <w:rFonts w:hint="eastAsia" w:ascii="宋体" w:hAnsi="宋体" w:eastAsia="宋体" w:cs="宋体"/>
          <w:color w:val="auto"/>
          <w:sz w:val="21"/>
          <w:szCs w:val="21"/>
          <w:highlight w:val="none"/>
        </w:rPr>
        <w:t>元</w:t>
      </w:r>
    </w:p>
    <w:p w14:paraId="6AFBC396">
      <w:pPr>
        <w:adjustRightInd w:val="0"/>
        <w:snapToGrid w:val="0"/>
        <w:spacing w:line="360" w:lineRule="exact"/>
        <w:ind w:firstLine="420" w:firstLineChars="200"/>
        <w:rPr>
          <w:rFonts w:hint="eastAsia" w:ascii="宋体" w:hAnsi="宋体" w:cs="宋体"/>
          <w:color w:val="auto"/>
          <w:szCs w:val="21"/>
        </w:rPr>
      </w:pPr>
      <w:r>
        <w:rPr>
          <w:rFonts w:hint="eastAsia" w:ascii="宋体" w:hAnsi="宋体" w:eastAsia="宋体" w:cs="宋体"/>
          <w:color w:val="auto"/>
          <w:sz w:val="21"/>
          <w:szCs w:val="21"/>
        </w:rPr>
        <w:t>6.采购需求：</w:t>
      </w:r>
      <w:r>
        <w:rPr>
          <w:rFonts w:hint="eastAsia" w:ascii="宋体" w:hAnsi="宋体" w:cs="宋体"/>
          <w:color w:val="auto"/>
          <w:szCs w:val="21"/>
        </w:rPr>
        <w:t>对常州市经开区文化活动中心消防设施、消控室和地下消防泵房等所有消防设施设备的维护保养工作，所有消防设施设备包括火灾自动报警系统、消防供水设施、消火栓灭火系统、消防供配电设施、自动跟踪定位射流灭火系统、自动喷水灭火系统、气体灭火系统、防排烟系统、火灾应急照明和疏散指示标志、应急广播系统、消防专用电话、防火分隔设施、消防电梯、电气火灾监控系统、灭火器等进行巡检、维护保养、故障处理、事故抢修、试验验证，保证经开文化活动中心消防设备运行安全、稳定、可靠。</w:t>
      </w:r>
    </w:p>
    <w:p w14:paraId="4D45982D">
      <w:pPr>
        <w:keepNext w:val="0"/>
        <w:keepLines w:val="0"/>
        <w:pageBreakBefore w:val="0"/>
        <w:widowControl w:val="0"/>
        <w:kinsoku/>
        <w:wordWrap/>
        <w:topLinePunct w:val="0"/>
        <w:autoSpaceDE/>
        <w:autoSpaceDN/>
        <w:bidi w:val="0"/>
        <w:snapToGrid w:val="0"/>
        <w:spacing w:line="36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Cs w:val="21"/>
        </w:rPr>
        <w:t>除了正常的年度每月维保工作还要求</w:t>
      </w:r>
      <w:r>
        <w:rPr>
          <w:rFonts w:hint="eastAsia" w:ascii="宋体" w:hAnsi="宋体" w:eastAsia="宋体" w:cs="宋体"/>
          <w:b/>
          <w:bCs/>
          <w:color w:val="auto"/>
          <w:szCs w:val="21"/>
          <w:lang w:eastAsia="zh-CN"/>
        </w:rPr>
        <w:t>：（</w:t>
      </w:r>
      <w:r>
        <w:rPr>
          <w:rFonts w:hint="eastAsia" w:ascii="宋体" w:hAnsi="宋体" w:eastAsia="宋体" w:cs="宋体"/>
          <w:b/>
          <w:bCs/>
          <w:color w:val="auto"/>
          <w:szCs w:val="21"/>
          <w:lang w:val="en-US" w:eastAsia="zh-CN"/>
        </w:rPr>
        <w:t>1</w:t>
      </w:r>
      <w:r>
        <w:rPr>
          <w:rFonts w:hint="eastAsia" w:ascii="宋体" w:hAnsi="宋体" w:eastAsia="宋体" w:cs="宋体"/>
          <w:b/>
          <w:bCs/>
          <w:color w:val="auto"/>
          <w:szCs w:val="21"/>
          <w:lang w:eastAsia="zh-CN"/>
        </w:rPr>
        <w:t>）</w:t>
      </w:r>
      <w:r>
        <w:rPr>
          <w:rFonts w:hint="eastAsia" w:ascii="宋体" w:hAnsi="宋体" w:eastAsia="宋体" w:cs="宋体"/>
          <w:b/>
          <w:bCs/>
          <w:color w:val="auto"/>
          <w:szCs w:val="21"/>
        </w:rPr>
        <w:t>合同总价5%范围内的维修及耗材维保单位负责。</w:t>
      </w:r>
      <w:r>
        <w:rPr>
          <w:rFonts w:hint="eastAsia" w:ascii="宋体" w:hAnsi="宋体" w:eastAsia="宋体" w:cs="宋体"/>
          <w:b/>
          <w:bCs/>
          <w:color w:val="auto"/>
          <w:szCs w:val="21"/>
          <w:lang w:eastAsia="zh-CN"/>
        </w:rPr>
        <w:t>（</w:t>
      </w:r>
      <w:r>
        <w:rPr>
          <w:rFonts w:hint="eastAsia" w:ascii="宋体" w:hAnsi="宋体" w:eastAsia="宋体" w:cs="宋体"/>
          <w:b/>
          <w:bCs/>
          <w:color w:val="auto"/>
          <w:szCs w:val="21"/>
          <w:lang w:val="en-US" w:eastAsia="zh-CN"/>
        </w:rPr>
        <w:t>2</w:t>
      </w:r>
      <w:r>
        <w:rPr>
          <w:rFonts w:hint="eastAsia" w:ascii="宋体" w:hAnsi="宋体" w:eastAsia="宋体" w:cs="宋体"/>
          <w:b/>
          <w:bCs/>
          <w:color w:val="auto"/>
          <w:szCs w:val="21"/>
          <w:lang w:eastAsia="zh-CN"/>
        </w:rPr>
        <w:t>）</w:t>
      </w:r>
      <w:r>
        <w:rPr>
          <w:rFonts w:hint="eastAsia" w:ascii="宋体" w:hAnsi="宋体" w:eastAsia="宋体" w:cs="宋体"/>
          <w:b/>
          <w:bCs/>
          <w:color w:val="auto"/>
          <w:szCs w:val="21"/>
        </w:rPr>
        <w:t>除了正常的维保工作，还需要对所有设备进行一次全面检测，并出具检测报告</w:t>
      </w:r>
      <w:r>
        <w:rPr>
          <w:rFonts w:hint="eastAsia" w:ascii="宋体" w:hAnsi="宋体" w:eastAsia="宋体" w:cs="宋体"/>
          <w:b/>
          <w:bCs/>
          <w:color w:val="auto"/>
          <w:szCs w:val="21"/>
          <w:lang w:eastAsia="zh-CN"/>
        </w:rPr>
        <w:t>。</w:t>
      </w:r>
    </w:p>
    <w:p w14:paraId="5C45C969">
      <w:pPr>
        <w:adjustRightInd w:val="0"/>
        <w:snapToGrid w:val="0"/>
        <w:spacing w:line="360" w:lineRule="exact"/>
        <w:ind w:right="210" w:firstLine="420" w:firstLineChars="200"/>
        <w:jc w:val="left"/>
        <w:rPr>
          <w:rFonts w:hint="default" w:ascii="宋体" w:hAnsi="宋体" w:eastAsia="宋体" w:cs="宋体"/>
          <w:color w:val="auto"/>
          <w:szCs w:val="21"/>
          <w:lang w:val="en-US" w:eastAsia="zh-CN"/>
        </w:rPr>
      </w:pPr>
      <w:r>
        <w:rPr>
          <w:rFonts w:hint="eastAsia" w:ascii="宋体" w:hAnsi="宋体" w:eastAsia="宋体" w:cs="宋体"/>
          <w:color w:val="auto"/>
          <w:sz w:val="21"/>
          <w:szCs w:val="21"/>
        </w:rPr>
        <w:t>7.合同履行期限：服务期限为一年，其中：前三个月为试用期，试用期满须经</w:t>
      </w:r>
      <w:r>
        <w:rPr>
          <w:rFonts w:hint="eastAsia" w:ascii="宋体" w:hAnsi="宋体" w:cs="宋体"/>
          <w:color w:val="auto"/>
          <w:sz w:val="21"/>
          <w:szCs w:val="21"/>
          <w:lang w:val="en-US" w:eastAsia="zh-CN"/>
        </w:rPr>
        <w:t>采购人</w:t>
      </w:r>
      <w:r>
        <w:rPr>
          <w:rFonts w:hint="eastAsia" w:ascii="宋体" w:hAnsi="宋体" w:eastAsia="宋体" w:cs="宋体"/>
          <w:color w:val="auto"/>
          <w:sz w:val="21"/>
          <w:szCs w:val="21"/>
        </w:rPr>
        <w:t>考核，考核不合格，</w:t>
      </w:r>
      <w:r>
        <w:rPr>
          <w:rFonts w:hint="eastAsia" w:ascii="宋体" w:hAnsi="宋体" w:cs="宋体"/>
          <w:color w:val="auto"/>
          <w:sz w:val="21"/>
          <w:szCs w:val="21"/>
          <w:lang w:val="en-US" w:eastAsia="zh-CN"/>
        </w:rPr>
        <w:t>采购人</w:t>
      </w:r>
      <w:r>
        <w:rPr>
          <w:rFonts w:hint="eastAsia" w:ascii="宋体" w:hAnsi="宋体" w:eastAsia="宋体" w:cs="宋体"/>
          <w:color w:val="auto"/>
          <w:sz w:val="21"/>
          <w:szCs w:val="21"/>
        </w:rPr>
        <w:t>有权解除合同。</w:t>
      </w:r>
    </w:p>
    <w:p w14:paraId="7A9BAC99">
      <w:pPr>
        <w:widowControl/>
        <w:adjustRightInd w:val="0"/>
        <w:snapToGrid w:val="0"/>
        <w:spacing w:line="360" w:lineRule="exact"/>
        <w:ind w:firstLine="422" w:firstLineChars="200"/>
        <w:jc w:val="left"/>
        <w:rPr>
          <w:rFonts w:ascii="宋体" w:hAnsi="宋体" w:cs="宋体"/>
          <w:color w:val="auto"/>
          <w:kern w:val="0"/>
          <w:szCs w:val="21"/>
        </w:rPr>
      </w:pPr>
      <w:r>
        <w:rPr>
          <w:rFonts w:hint="eastAsia" w:ascii="宋体" w:hAnsi="宋体" w:cs="宋体"/>
          <w:b/>
          <w:bCs/>
          <w:color w:val="auto"/>
          <w:kern w:val="0"/>
          <w:szCs w:val="21"/>
        </w:rPr>
        <w:t>二、</w:t>
      </w:r>
      <w:r>
        <w:rPr>
          <w:rFonts w:hint="eastAsia" w:ascii="宋体" w:hAnsi="宋体" w:cs="宋体"/>
          <w:b/>
          <w:bCs/>
          <w:color w:val="auto"/>
          <w:szCs w:val="21"/>
        </w:rPr>
        <w:t>供应商资格要求</w:t>
      </w:r>
    </w:p>
    <w:p w14:paraId="75308CBC">
      <w:pPr>
        <w:snapToGrid w:val="0"/>
        <w:spacing w:line="360" w:lineRule="exact"/>
        <w:ind w:firstLine="420" w:firstLineChars="200"/>
        <w:rPr>
          <w:rFonts w:hint="eastAsia"/>
          <w:color w:val="auto"/>
          <w:lang w:val="en-US" w:eastAsia="zh-CN"/>
        </w:rPr>
      </w:pPr>
      <w:r>
        <w:rPr>
          <w:rFonts w:hint="eastAsia" w:ascii="宋体" w:hAnsi="宋体" w:cs="宋体"/>
          <w:color w:val="auto"/>
          <w:szCs w:val="21"/>
        </w:rPr>
        <w:t>详见询价公告。</w:t>
      </w:r>
    </w:p>
    <w:p w14:paraId="74F5C642">
      <w:pPr>
        <w:tabs>
          <w:tab w:val="left" w:pos="303"/>
        </w:tabs>
        <w:ind w:firstLine="422" w:firstLineChars="200"/>
        <w:outlineLvl w:val="1"/>
        <w:rPr>
          <w:rFonts w:hint="default" w:ascii="宋体" w:hAnsi="宋体" w:cs="宋体"/>
          <w:b/>
          <w:color w:val="auto"/>
          <w:kern w:val="0"/>
          <w:sz w:val="21"/>
          <w:szCs w:val="21"/>
          <w:lang w:val="en-US"/>
        </w:rPr>
      </w:pPr>
      <w:r>
        <w:rPr>
          <w:rFonts w:hint="eastAsia" w:ascii="宋体" w:hAnsi="宋体" w:cs="宋体"/>
          <w:b/>
          <w:color w:val="auto"/>
          <w:kern w:val="0"/>
          <w:sz w:val="21"/>
          <w:szCs w:val="21"/>
          <w:lang w:val="en-US" w:eastAsia="zh-CN"/>
        </w:rPr>
        <w:t>三、采购内容及要求</w:t>
      </w:r>
    </w:p>
    <w:p w14:paraId="1753E707">
      <w:pPr>
        <w:snapToGrid w:val="0"/>
        <w:spacing w:line="360" w:lineRule="exact"/>
        <w:ind w:firstLine="422" w:firstLineChars="200"/>
        <w:rPr>
          <w:rFonts w:hint="eastAsia" w:ascii="宋体" w:hAnsi="宋体" w:eastAsia="宋体" w:cs="宋体"/>
          <w:color w:val="auto"/>
          <w:szCs w:val="21"/>
        </w:rPr>
      </w:pPr>
      <w:r>
        <w:rPr>
          <w:rFonts w:hint="eastAsia" w:ascii="宋体" w:hAnsi="宋体" w:eastAsia="宋体" w:cs="宋体"/>
          <w:b/>
          <w:bCs/>
          <w:color w:val="auto"/>
          <w:szCs w:val="21"/>
          <w:lang w:val="en-US" w:eastAsia="zh-CN"/>
        </w:rPr>
        <w:t>（一）</w:t>
      </w:r>
      <w:r>
        <w:rPr>
          <w:rFonts w:hint="eastAsia" w:ascii="宋体" w:hAnsi="宋体" w:eastAsia="宋体" w:cs="宋体"/>
          <w:b/>
          <w:bCs/>
          <w:color w:val="auto"/>
          <w:szCs w:val="21"/>
        </w:rPr>
        <w:t>服务要求</w:t>
      </w:r>
    </w:p>
    <w:p w14:paraId="5417890E">
      <w:pPr>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1.</w:t>
      </w:r>
      <w:r>
        <w:rPr>
          <w:rFonts w:hint="eastAsia" w:ascii="宋体" w:hAnsi="宋体" w:eastAsia="宋体" w:cs="宋体"/>
          <w:color w:val="auto"/>
          <w:szCs w:val="21"/>
        </w:rPr>
        <w:t>设备巡检：</w:t>
      </w:r>
    </w:p>
    <w:p w14:paraId="5BB18A80">
      <w:pPr>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按要求进行火灾自动报警系统、消防供水设施、消火栓灭火系统、消防供配电设施、自动跟踪定位射流灭火系统、自动喷水灭火系统、气体灭火系统、防排烟系统、火灾应急照明和疏散指示标志、应急广播系统、消防专用电话、防火分隔设施、消防电梯、电气火灾监控系统、灭火器等的巡检，及时发现设备的故障，使其得到及时维修（或调整），保持正常工作状态，巡检作业内容及标准按采购人的要求和国家及行业的有关规范中的要求和规定执行。在巡检工作中同时做好对火灾自动报警系统，消防水系统，防排烟系统、消防广播系统使用的环境条件的检查，将发现的问题及时反馈给采购人，保证系统能在发生火灾时正常发挥作用。按要求对设备及设备房进行巡检的结果要留有巡检记录。</w:t>
      </w:r>
    </w:p>
    <w:p w14:paraId="53B7C624">
      <w:pPr>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2.</w:t>
      </w:r>
      <w:r>
        <w:rPr>
          <w:rFonts w:hint="eastAsia" w:ascii="宋体" w:hAnsi="宋体" w:eastAsia="宋体" w:cs="宋体"/>
          <w:color w:val="auto"/>
          <w:szCs w:val="21"/>
        </w:rPr>
        <w:t>故障维修：</w:t>
      </w:r>
    </w:p>
    <w:p w14:paraId="4970C09A">
      <w:pPr>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当设备发生故障时，供应商发现或接报后应立即处理，不得影响经开文化活动中心的运营（在不影响运营情况下可采取应急措施后安排临修计划），原则上故障必须在3小时内处理完毕，需要由供应商或者厂家解决的，应在5个工作日内处理、解决，恢复正常状态。对于无法处理、解决的故障，应在离开现场前将故障情况和故障的影响报告给采购人，并从火灾自动报警系统，消防水系统，防排烟系统、消防广播等系统的专业角度提出应急处理方法，并报告给采购人消防负责人。</w:t>
      </w:r>
    </w:p>
    <w:p w14:paraId="543D6667">
      <w:pPr>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3.</w:t>
      </w:r>
      <w:r>
        <w:rPr>
          <w:rFonts w:hint="eastAsia" w:ascii="宋体" w:hAnsi="宋体" w:eastAsia="宋体" w:cs="宋体"/>
          <w:color w:val="auto"/>
          <w:szCs w:val="21"/>
        </w:rPr>
        <w:t>设备保养：</w:t>
      </w:r>
    </w:p>
    <w:p w14:paraId="48B8C1BE">
      <w:pPr>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每月对设备要进行定期保养作业，作业内容及标准按国家及行业的有关规范中的要求和规定执行。可以根据最新的相关标准及自己的维护经验提出书面建议。</w:t>
      </w:r>
    </w:p>
    <w:p w14:paraId="08AC42F2">
      <w:pPr>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4.</w:t>
      </w:r>
      <w:r>
        <w:rPr>
          <w:rFonts w:hint="eastAsia" w:ascii="宋体" w:hAnsi="宋体" w:eastAsia="宋体" w:cs="宋体"/>
          <w:color w:val="auto"/>
          <w:szCs w:val="21"/>
        </w:rPr>
        <w:t>临修：</w:t>
      </w:r>
    </w:p>
    <w:p w14:paraId="344634D4">
      <w:pPr>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由采购人消防主管根据设备运行情况，临时增加的检修维护工作或在工作时发现的设备问题，供应商结合实际情况，安排计划进行及时处理和修复。</w:t>
      </w:r>
    </w:p>
    <w:p w14:paraId="435F6855">
      <w:pPr>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5.</w:t>
      </w:r>
      <w:r>
        <w:rPr>
          <w:rFonts w:hint="eastAsia" w:ascii="宋体" w:hAnsi="宋体" w:eastAsia="宋体" w:cs="宋体"/>
          <w:color w:val="auto"/>
          <w:szCs w:val="21"/>
        </w:rPr>
        <w:t>抢修：</w:t>
      </w:r>
    </w:p>
    <w:p w14:paraId="6559E45D">
      <w:pPr>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当设备发生紧急故障，影响运营或设备故障扩大时，需进行抢修。供应商在接到报修信息后必须在2小时内携带工具、材料到达现场，进行有效的抢修工作。</w:t>
      </w:r>
    </w:p>
    <w:p w14:paraId="5CBF6A24">
      <w:pPr>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6.</w:t>
      </w:r>
      <w:r>
        <w:rPr>
          <w:rFonts w:hint="eastAsia" w:ascii="宋体" w:hAnsi="宋体" w:eastAsia="宋体" w:cs="宋体"/>
          <w:color w:val="auto"/>
          <w:szCs w:val="21"/>
        </w:rPr>
        <w:t>供应商必须提供合同价的5%用于现场维修及耗材的备品备件更换。</w:t>
      </w:r>
    </w:p>
    <w:p w14:paraId="402DF445">
      <w:pPr>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7.</w:t>
      </w:r>
      <w:r>
        <w:rPr>
          <w:rFonts w:hint="eastAsia" w:ascii="宋体" w:hAnsi="宋体" w:eastAsia="宋体" w:cs="宋体"/>
          <w:color w:val="auto"/>
          <w:szCs w:val="21"/>
        </w:rPr>
        <w:t>除了每月正常维保工作，还需要对所有消防设施设备进行一次全面检测，并出具检测报告给予采购人。</w:t>
      </w:r>
    </w:p>
    <w:p w14:paraId="03E37069">
      <w:pPr>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8.</w:t>
      </w:r>
      <w:r>
        <w:rPr>
          <w:rFonts w:hint="eastAsia" w:ascii="宋体" w:hAnsi="宋体" w:eastAsia="宋体" w:cs="宋体"/>
          <w:color w:val="auto"/>
          <w:szCs w:val="21"/>
          <w:lang w:eastAsia="zh-CN"/>
        </w:rPr>
        <w:t>供应商</w:t>
      </w:r>
      <w:r>
        <w:rPr>
          <w:rFonts w:hint="eastAsia" w:ascii="宋体" w:hAnsi="宋体" w:eastAsia="宋体" w:cs="宋体"/>
          <w:color w:val="auto"/>
          <w:szCs w:val="21"/>
        </w:rPr>
        <w:t>需要投入软、硬件至项目上，使项目达到智慧消防的水平，且不得增加额外费用。</w:t>
      </w:r>
    </w:p>
    <w:p w14:paraId="59239A50">
      <w:pPr>
        <w:snapToGrid w:val="0"/>
        <w:spacing w:line="360" w:lineRule="exact"/>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9.</w:t>
      </w:r>
      <w:r>
        <w:rPr>
          <w:rFonts w:hint="eastAsia" w:ascii="宋体" w:hAnsi="宋体" w:eastAsia="宋体" w:cs="宋体"/>
          <w:color w:val="auto"/>
          <w:szCs w:val="21"/>
        </w:rPr>
        <w:t>供应商应按照采购人相关制度与要求，做好生产、安全、统计、计划等记录、台帐</w:t>
      </w:r>
      <w:r>
        <w:rPr>
          <w:rFonts w:hint="eastAsia" w:ascii="宋体" w:hAnsi="宋体" w:eastAsia="宋体" w:cs="宋体"/>
          <w:color w:val="auto"/>
          <w:szCs w:val="21"/>
          <w:lang w:eastAsia="zh-CN"/>
        </w:rPr>
        <w:t>及报表。</w:t>
      </w:r>
    </w:p>
    <w:p w14:paraId="67A2A6CE">
      <w:pPr>
        <w:snapToGrid w:val="0"/>
        <w:spacing w:line="360" w:lineRule="exact"/>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lang w:eastAsia="zh-CN"/>
        </w:rPr>
        <w:t>作业流程：</w:t>
      </w:r>
    </w:p>
    <w:tbl>
      <w:tblPr>
        <w:tblStyle w:val="20"/>
        <w:tblW w:w="8278" w:type="dxa"/>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4"/>
        <w:gridCol w:w="7594"/>
      </w:tblGrid>
      <w:tr w14:paraId="3477A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4" w:type="dxa"/>
            <w:tcBorders>
              <w:top w:val="single" w:color="000000" w:sz="4" w:space="0"/>
              <w:left w:val="single" w:color="000000" w:sz="4" w:space="0"/>
              <w:bottom w:val="single" w:color="auto" w:sz="4" w:space="0"/>
              <w:right w:val="single" w:color="000000" w:sz="4" w:space="0"/>
            </w:tcBorders>
            <w:shd w:val="clear" w:color="auto" w:fill="auto"/>
            <w:vAlign w:val="center"/>
          </w:tcPr>
          <w:p w14:paraId="78525E2D">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ascii="宋体" w:hAnsi="宋体" w:cs="宋体"/>
                <w:b/>
                <w:bCs/>
                <w:color w:val="auto"/>
                <w:szCs w:val="21"/>
                <w:lang w:val="zh-CN"/>
              </w:rPr>
            </w:pPr>
            <w:r>
              <w:rPr>
                <w:rFonts w:hint="eastAsia" w:ascii="宋体" w:hAnsi="宋体" w:cs="宋体"/>
                <w:b/>
                <w:bCs/>
                <w:color w:val="auto"/>
                <w:szCs w:val="21"/>
                <w:lang w:val="zh-CN"/>
              </w:rPr>
              <w:t>序号</w:t>
            </w:r>
          </w:p>
        </w:tc>
        <w:tc>
          <w:tcPr>
            <w:tcW w:w="7594" w:type="dxa"/>
            <w:tcBorders>
              <w:top w:val="single" w:color="000000" w:sz="4" w:space="0"/>
              <w:left w:val="single" w:color="000000" w:sz="4" w:space="0"/>
              <w:bottom w:val="single" w:color="000000" w:sz="4" w:space="0"/>
              <w:right w:val="single" w:color="000000" w:sz="4" w:space="0"/>
            </w:tcBorders>
            <w:shd w:val="clear" w:color="auto" w:fill="auto"/>
          </w:tcPr>
          <w:p w14:paraId="55251058">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ascii="宋体" w:hAnsi="宋体" w:cs="宋体"/>
                <w:b/>
                <w:bCs/>
                <w:color w:val="auto"/>
                <w:szCs w:val="21"/>
                <w:lang w:val="zh-CN"/>
              </w:rPr>
            </w:pPr>
            <w:r>
              <w:rPr>
                <w:rFonts w:hint="eastAsia" w:ascii="宋体" w:hAnsi="宋体" w:cs="宋体"/>
                <w:b/>
                <w:bCs/>
                <w:color w:val="auto"/>
                <w:szCs w:val="21"/>
                <w:lang w:val="zh-CN"/>
              </w:rPr>
              <w:t>消防维保作业流程</w:t>
            </w:r>
          </w:p>
        </w:tc>
      </w:tr>
      <w:tr w14:paraId="40344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97EE1">
            <w:pPr>
              <w:keepNext w:val="0"/>
              <w:keepLines w:val="0"/>
              <w:pageBreakBefore w:val="0"/>
              <w:widowControl w:val="0"/>
              <w:kinsoku/>
              <w:wordWrap/>
              <w:overflowPunct/>
              <w:topLinePunct w:val="0"/>
              <w:bidi w:val="0"/>
              <w:adjustRightInd w:val="0"/>
              <w:snapToGrid w:val="0"/>
              <w:spacing w:line="360" w:lineRule="exact"/>
              <w:jc w:val="center"/>
              <w:textAlignment w:val="auto"/>
              <w:rPr>
                <w:rFonts w:ascii="宋体" w:hAnsi="宋体" w:cs="宋体"/>
                <w:color w:val="auto"/>
                <w:szCs w:val="21"/>
              </w:rPr>
            </w:pPr>
            <w:r>
              <w:rPr>
                <w:rFonts w:hint="eastAsia" w:ascii="宋体" w:hAnsi="宋体" w:cs="宋体"/>
                <w:color w:val="auto"/>
                <w:szCs w:val="21"/>
              </w:rPr>
              <w:t>1</w:t>
            </w:r>
          </w:p>
        </w:tc>
        <w:tc>
          <w:tcPr>
            <w:tcW w:w="7594" w:type="dxa"/>
            <w:tcBorders>
              <w:top w:val="single" w:color="000000" w:sz="4" w:space="0"/>
              <w:left w:val="single" w:color="000000" w:sz="4" w:space="0"/>
              <w:bottom w:val="single" w:color="000000" w:sz="4" w:space="0"/>
              <w:right w:val="single" w:color="000000" w:sz="4" w:space="0"/>
            </w:tcBorders>
            <w:shd w:val="clear" w:color="auto" w:fill="auto"/>
          </w:tcPr>
          <w:p w14:paraId="5F7393F1">
            <w:pPr>
              <w:keepNext w:val="0"/>
              <w:keepLines w:val="0"/>
              <w:pageBreakBefore w:val="0"/>
              <w:widowControl w:val="0"/>
              <w:kinsoku/>
              <w:wordWrap/>
              <w:overflowPunct/>
              <w:topLinePunct w:val="0"/>
              <w:autoSpaceDE w:val="0"/>
              <w:autoSpaceDN w:val="0"/>
              <w:bidi w:val="0"/>
              <w:adjustRightInd w:val="0"/>
              <w:snapToGrid w:val="0"/>
              <w:spacing w:line="360" w:lineRule="exact"/>
              <w:textAlignment w:val="auto"/>
              <w:rPr>
                <w:rFonts w:ascii="宋体" w:hAnsi="宋体" w:cs="宋体"/>
                <w:b/>
                <w:color w:val="auto"/>
                <w:szCs w:val="21"/>
                <w:lang w:val="zh-CN"/>
              </w:rPr>
            </w:pPr>
            <w:r>
              <w:rPr>
                <w:rFonts w:hint="eastAsia" w:ascii="宋体" w:hAnsi="宋体" w:cs="宋体"/>
                <w:b/>
                <w:color w:val="auto"/>
                <w:szCs w:val="21"/>
                <w:lang w:val="zh-CN"/>
              </w:rPr>
              <w:t>消防主机以及图文显示系统</w:t>
            </w:r>
          </w:p>
          <w:p w14:paraId="2E45F73E">
            <w:pPr>
              <w:keepNext w:val="0"/>
              <w:keepLines w:val="0"/>
              <w:pageBreakBefore w:val="0"/>
              <w:widowControl w:val="0"/>
              <w:kinsoku/>
              <w:wordWrap/>
              <w:overflowPunct/>
              <w:topLinePunct w:val="0"/>
              <w:autoSpaceDE w:val="0"/>
              <w:autoSpaceDN w:val="0"/>
              <w:bidi w:val="0"/>
              <w:adjustRightInd w:val="0"/>
              <w:snapToGrid w:val="0"/>
              <w:spacing w:line="360" w:lineRule="exact"/>
              <w:textAlignment w:val="auto"/>
              <w:rPr>
                <w:rFonts w:ascii="宋体" w:hAnsi="宋体" w:cs="宋体"/>
                <w:color w:val="auto"/>
                <w:szCs w:val="21"/>
                <w:lang w:val="zh-CN"/>
              </w:rPr>
            </w:pPr>
            <w:r>
              <w:rPr>
                <w:rFonts w:hint="eastAsia" w:ascii="宋体" w:hAnsi="宋体" w:cs="宋体"/>
                <w:color w:val="auto"/>
                <w:szCs w:val="21"/>
                <w:lang w:val="zh-CN"/>
              </w:rPr>
              <w:t>1）对消防报警控制器进行外观检查、清洁除尘、紧固接线端子。</w:t>
            </w:r>
          </w:p>
          <w:p w14:paraId="03B9E4DA">
            <w:pPr>
              <w:keepNext w:val="0"/>
              <w:keepLines w:val="0"/>
              <w:pageBreakBefore w:val="0"/>
              <w:widowControl w:val="0"/>
              <w:kinsoku/>
              <w:wordWrap/>
              <w:overflowPunct/>
              <w:topLinePunct w:val="0"/>
              <w:autoSpaceDE w:val="0"/>
              <w:autoSpaceDN w:val="0"/>
              <w:bidi w:val="0"/>
              <w:adjustRightInd w:val="0"/>
              <w:snapToGrid w:val="0"/>
              <w:spacing w:line="360" w:lineRule="exact"/>
              <w:textAlignment w:val="auto"/>
              <w:rPr>
                <w:rFonts w:ascii="宋体" w:hAnsi="宋体" w:cs="宋体"/>
                <w:color w:val="auto"/>
                <w:szCs w:val="21"/>
                <w:lang w:val="zh-CN"/>
              </w:rPr>
            </w:pPr>
            <w:r>
              <w:rPr>
                <w:rFonts w:hint="eastAsia" w:ascii="宋体" w:hAnsi="宋体" w:cs="宋体"/>
                <w:color w:val="auto"/>
                <w:szCs w:val="21"/>
                <w:lang w:val="zh-CN"/>
              </w:rPr>
              <w:t>2）对消防报警控制器进行各项技术指标测量和功能测试。</w:t>
            </w:r>
          </w:p>
          <w:p w14:paraId="511D9573">
            <w:pPr>
              <w:keepNext w:val="0"/>
              <w:keepLines w:val="0"/>
              <w:pageBreakBefore w:val="0"/>
              <w:widowControl w:val="0"/>
              <w:kinsoku/>
              <w:wordWrap/>
              <w:overflowPunct/>
              <w:topLinePunct w:val="0"/>
              <w:autoSpaceDE w:val="0"/>
              <w:autoSpaceDN w:val="0"/>
              <w:bidi w:val="0"/>
              <w:adjustRightInd w:val="0"/>
              <w:snapToGrid w:val="0"/>
              <w:spacing w:line="360" w:lineRule="exact"/>
              <w:textAlignment w:val="auto"/>
              <w:rPr>
                <w:rFonts w:ascii="宋体" w:hAnsi="宋体" w:cs="宋体"/>
                <w:color w:val="auto"/>
                <w:szCs w:val="21"/>
                <w:lang w:val="zh-CN"/>
              </w:rPr>
            </w:pPr>
            <w:r>
              <w:rPr>
                <w:rFonts w:hint="eastAsia" w:ascii="宋体" w:hAnsi="宋体" w:cs="宋体"/>
                <w:color w:val="auto"/>
                <w:szCs w:val="21"/>
                <w:lang w:val="zh-CN"/>
              </w:rPr>
              <w:t>3）对消防报警主控制器的中央处理单元数据库进行更新和数据备份。</w:t>
            </w:r>
          </w:p>
          <w:p w14:paraId="590B009E">
            <w:pPr>
              <w:keepNext w:val="0"/>
              <w:keepLines w:val="0"/>
              <w:pageBreakBefore w:val="0"/>
              <w:widowControl w:val="0"/>
              <w:kinsoku/>
              <w:wordWrap/>
              <w:overflowPunct/>
              <w:topLinePunct w:val="0"/>
              <w:autoSpaceDE w:val="0"/>
              <w:autoSpaceDN w:val="0"/>
              <w:bidi w:val="0"/>
              <w:adjustRightInd w:val="0"/>
              <w:snapToGrid w:val="0"/>
              <w:spacing w:line="360" w:lineRule="exact"/>
              <w:textAlignment w:val="auto"/>
              <w:rPr>
                <w:rFonts w:ascii="宋体" w:hAnsi="宋体" w:cs="宋体"/>
                <w:color w:val="auto"/>
                <w:szCs w:val="21"/>
                <w:lang w:val="zh-CN"/>
              </w:rPr>
            </w:pPr>
            <w:r>
              <w:rPr>
                <w:rFonts w:hint="eastAsia" w:ascii="宋体" w:hAnsi="宋体" w:cs="宋体"/>
                <w:color w:val="auto"/>
                <w:szCs w:val="21"/>
                <w:lang w:val="zh-CN"/>
              </w:rPr>
              <w:t>4）对消防联动控制台进行外观检查、清洁除尘、紧固接线端子。</w:t>
            </w:r>
          </w:p>
          <w:p w14:paraId="3BA56A65">
            <w:pPr>
              <w:keepNext w:val="0"/>
              <w:keepLines w:val="0"/>
              <w:pageBreakBefore w:val="0"/>
              <w:widowControl w:val="0"/>
              <w:kinsoku/>
              <w:wordWrap/>
              <w:overflowPunct/>
              <w:topLinePunct w:val="0"/>
              <w:autoSpaceDE w:val="0"/>
              <w:autoSpaceDN w:val="0"/>
              <w:bidi w:val="0"/>
              <w:adjustRightInd w:val="0"/>
              <w:snapToGrid w:val="0"/>
              <w:spacing w:line="360" w:lineRule="exact"/>
              <w:textAlignment w:val="auto"/>
              <w:rPr>
                <w:rFonts w:ascii="宋体" w:hAnsi="宋体" w:cs="宋体"/>
                <w:color w:val="auto"/>
                <w:szCs w:val="21"/>
                <w:lang w:val="zh-CN"/>
              </w:rPr>
            </w:pPr>
            <w:r>
              <w:rPr>
                <w:rFonts w:hint="eastAsia" w:ascii="宋体" w:hAnsi="宋体" w:cs="宋体"/>
                <w:color w:val="auto"/>
                <w:szCs w:val="21"/>
                <w:lang w:val="zh-CN"/>
              </w:rPr>
              <w:t>5）对消防联动控制台进行各项技术指标测量和功能测试。</w:t>
            </w:r>
          </w:p>
          <w:p w14:paraId="182117C5">
            <w:pPr>
              <w:keepNext w:val="0"/>
              <w:keepLines w:val="0"/>
              <w:pageBreakBefore w:val="0"/>
              <w:widowControl w:val="0"/>
              <w:kinsoku/>
              <w:wordWrap/>
              <w:overflowPunct/>
              <w:topLinePunct w:val="0"/>
              <w:autoSpaceDE w:val="0"/>
              <w:autoSpaceDN w:val="0"/>
              <w:bidi w:val="0"/>
              <w:adjustRightInd w:val="0"/>
              <w:snapToGrid w:val="0"/>
              <w:spacing w:line="360" w:lineRule="exact"/>
              <w:textAlignment w:val="auto"/>
              <w:rPr>
                <w:rFonts w:ascii="宋体" w:hAnsi="宋体" w:cs="宋体"/>
                <w:color w:val="auto"/>
                <w:szCs w:val="21"/>
                <w:lang w:val="zh-CN"/>
              </w:rPr>
            </w:pPr>
            <w:r>
              <w:rPr>
                <w:rFonts w:hint="eastAsia" w:ascii="宋体" w:hAnsi="宋体" w:cs="宋体"/>
                <w:color w:val="auto"/>
                <w:szCs w:val="21"/>
                <w:lang w:val="zh-CN"/>
              </w:rPr>
              <w:t>6）对消防报警图形显示系统和打印机进行清洁除尘。</w:t>
            </w:r>
          </w:p>
          <w:p w14:paraId="2EA3A607">
            <w:pPr>
              <w:keepNext w:val="0"/>
              <w:keepLines w:val="0"/>
              <w:pageBreakBefore w:val="0"/>
              <w:widowControl w:val="0"/>
              <w:kinsoku/>
              <w:wordWrap/>
              <w:overflowPunct/>
              <w:topLinePunct w:val="0"/>
              <w:autoSpaceDE w:val="0"/>
              <w:autoSpaceDN w:val="0"/>
              <w:bidi w:val="0"/>
              <w:adjustRightInd w:val="0"/>
              <w:snapToGrid w:val="0"/>
              <w:spacing w:line="360" w:lineRule="exact"/>
              <w:textAlignment w:val="auto"/>
              <w:rPr>
                <w:rFonts w:ascii="宋体" w:hAnsi="宋体" w:cs="宋体"/>
                <w:color w:val="auto"/>
                <w:szCs w:val="21"/>
                <w:lang w:val="zh-CN"/>
              </w:rPr>
            </w:pPr>
            <w:r>
              <w:rPr>
                <w:rFonts w:hint="eastAsia" w:ascii="宋体" w:hAnsi="宋体" w:cs="宋体"/>
                <w:color w:val="auto"/>
                <w:szCs w:val="21"/>
                <w:lang w:val="zh-CN"/>
              </w:rPr>
              <w:t>7）对消防报警图形显示系统和打印机进行各项技术指标测量和功能测试。</w:t>
            </w:r>
          </w:p>
          <w:p w14:paraId="436828AC">
            <w:pPr>
              <w:keepNext w:val="0"/>
              <w:keepLines w:val="0"/>
              <w:pageBreakBefore w:val="0"/>
              <w:widowControl w:val="0"/>
              <w:kinsoku/>
              <w:wordWrap/>
              <w:overflowPunct/>
              <w:topLinePunct w:val="0"/>
              <w:autoSpaceDE w:val="0"/>
              <w:autoSpaceDN w:val="0"/>
              <w:bidi w:val="0"/>
              <w:adjustRightInd w:val="0"/>
              <w:snapToGrid w:val="0"/>
              <w:spacing w:line="360" w:lineRule="exact"/>
              <w:textAlignment w:val="auto"/>
              <w:rPr>
                <w:rFonts w:ascii="宋体" w:hAnsi="宋体" w:cs="宋体"/>
                <w:color w:val="auto"/>
                <w:szCs w:val="21"/>
                <w:lang w:val="zh-CN"/>
              </w:rPr>
            </w:pPr>
            <w:r>
              <w:rPr>
                <w:rFonts w:hint="eastAsia" w:ascii="宋体" w:hAnsi="宋体" w:cs="宋体"/>
                <w:color w:val="auto"/>
                <w:szCs w:val="21"/>
                <w:lang w:val="zh-CN"/>
              </w:rPr>
              <w:t>8）对消防报警图形显示系统和打印机进行各项技术指标测量和功能测试。</w:t>
            </w:r>
          </w:p>
          <w:p w14:paraId="5C7AFA73">
            <w:pPr>
              <w:keepNext w:val="0"/>
              <w:keepLines w:val="0"/>
              <w:pageBreakBefore w:val="0"/>
              <w:widowControl w:val="0"/>
              <w:kinsoku/>
              <w:wordWrap/>
              <w:overflowPunct/>
              <w:topLinePunct w:val="0"/>
              <w:autoSpaceDE w:val="0"/>
              <w:autoSpaceDN w:val="0"/>
              <w:bidi w:val="0"/>
              <w:adjustRightInd w:val="0"/>
              <w:snapToGrid w:val="0"/>
              <w:spacing w:line="360" w:lineRule="exact"/>
              <w:textAlignment w:val="auto"/>
              <w:rPr>
                <w:rFonts w:ascii="宋体" w:hAnsi="宋体" w:cs="宋体"/>
                <w:color w:val="auto"/>
                <w:szCs w:val="21"/>
                <w:lang w:val="zh-CN"/>
              </w:rPr>
            </w:pPr>
            <w:r>
              <w:rPr>
                <w:rFonts w:hint="eastAsia" w:ascii="宋体" w:hAnsi="宋体" w:cs="宋体"/>
                <w:color w:val="auto"/>
                <w:szCs w:val="21"/>
                <w:lang w:val="zh-CN"/>
              </w:rPr>
              <w:t>9）根据用户需求和现场情况，对控制器中央处理单元数据库进行修改。</w:t>
            </w:r>
          </w:p>
          <w:p w14:paraId="5097F005">
            <w:pPr>
              <w:keepNext w:val="0"/>
              <w:keepLines w:val="0"/>
              <w:pageBreakBefore w:val="0"/>
              <w:widowControl w:val="0"/>
              <w:kinsoku/>
              <w:wordWrap/>
              <w:overflowPunct/>
              <w:topLinePunct w:val="0"/>
              <w:bidi w:val="0"/>
              <w:adjustRightInd w:val="0"/>
              <w:snapToGrid w:val="0"/>
              <w:spacing w:line="360" w:lineRule="exact"/>
              <w:textAlignment w:val="auto"/>
              <w:rPr>
                <w:rFonts w:ascii="宋体" w:hAnsi="宋体" w:cs="宋体"/>
                <w:color w:val="auto"/>
                <w:szCs w:val="21"/>
              </w:rPr>
            </w:pPr>
            <w:r>
              <w:rPr>
                <w:rFonts w:hint="eastAsia" w:ascii="宋体" w:hAnsi="宋体" w:cs="宋体"/>
                <w:color w:val="auto"/>
                <w:szCs w:val="21"/>
                <w:lang w:val="zh-CN"/>
              </w:rPr>
              <w:t>10）根据用户要求和现场情况、对消防图形显示系统的数据库进行修改。</w:t>
            </w:r>
          </w:p>
        </w:tc>
      </w:tr>
      <w:tr w14:paraId="2B87B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BA761">
            <w:pPr>
              <w:keepNext w:val="0"/>
              <w:keepLines w:val="0"/>
              <w:pageBreakBefore w:val="0"/>
              <w:widowControl w:val="0"/>
              <w:kinsoku/>
              <w:wordWrap/>
              <w:overflowPunct/>
              <w:topLinePunct w:val="0"/>
              <w:bidi w:val="0"/>
              <w:adjustRightInd w:val="0"/>
              <w:snapToGrid w:val="0"/>
              <w:spacing w:line="360" w:lineRule="exact"/>
              <w:jc w:val="center"/>
              <w:textAlignment w:val="auto"/>
              <w:rPr>
                <w:rFonts w:ascii="宋体" w:hAnsi="宋体" w:cs="宋体"/>
                <w:color w:val="auto"/>
                <w:szCs w:val="21"/>
              </w:rPr>
            </w:pPr>
            <w:r>
              <w:rPr>
                <w:rFonts w:hint="eastAsia" w:ascii="宋体" w:hAnsi="宋体" w:cs="宋体"/>
                <w:color w:val="auto"/>
                <w:szCs w:val="21"/>
              </w:rPr>
              <w:t>2</w:t>
            </w:r>
          </w:p>
        </w:tc>
        <w:tc>
          <w:tcPr>
            <w:tcW w:w="7594" w:type="dxa"/>
            <w:tcBorders>
              <w:top w:val="single" w:color="000000" w:sz="4" w:space="0"/>
              <w:left w:val="single" w:color="000000" w:sz="4" w:space="0"/>
              <w:bottom w:val="single" w:color="000000" w:sz="4" w:space="0"/>
              <w:right w:val="single" w:color="000000" w:sz="4" w:space="0"/>
            </w:tcBorders>
            <w:shd w:val="clear" w:color="auto" w:fill="auto"/>
          </w:tcPr>
          <w:p w14:paraId="756E4F33">
            <w:pPr>
              <w:keepNext w:val="0"/>
              <w:keepLines w:val="0"/>
              <w:pageBreakBefore w:val="0"/>
              <w:widowControl w:val="0"/>
              <w:kinsoku/>
              <w:wordWrap/>
              <w:overflowPunct/>
              <w:topLinePunct w:val="0"/>
              <w:autoSpaceDE w:val="0"/>
              <w:autoSpaceDN w:val="0"/>
              <w:bidi w:val="0"/>
              <w:adjustRightInd w:val="0"/>
              <w:snapToGrid w:val="0"/>
              <w:spacing w:line="360" w:lineRule="exact"/>
              <w:textAlignment w:val="auto"/>
              <w:rPr>
                <w:rFonts w:ascii="宋体" w:hAnsi="宋体" w:cs="宋体"/>
                <w:b/>
                <w:color w:val="auto"/>
                <w:szCs w:val="21"/>
                <w:lang w:val="zh-CN"/>
              </w:rPr>
            </w:pPr>
            <w:r>
              <w:rPr>
                <w:rFonts w:hint="eastAsia" w:ascii="宋体" w:hAnsi="宋体" w:cs="宋体"/>
                <w:b/>
                <w:color w:val="auto"/>
                <w:szCs w:val="21"/>
                <w:lang w:val="zh-CN"/>
              </w:rPr>
              <w:t>感烟探测器</w:t>
            </w:r>
          </w:p>
          <w:p w14:paraId="57E06DB0">
            <w:pPr>
              <w:keepNext w:val="0"/>
              <w:keepLines w:val="0"/>
              <w:pageBreakBefore w:val="0"/>
              <w:widowControl w:val="0"/>
              <w:kinsoku/>
              <w:wordWrap/>
              <w:overflowPunct/>
              <w:topLinePunct w:val="0"/>
              <w:autoSpaceDE w:val="0"/>
              <w:autoSpaceDN w:val="0"/>
              <w:bidi w:val="0"/>
              <w:adjustRightInd w:val="0"/>
              <w:snapToGrid w:val="0"/>
              <w:spacing w:line="360" w:lineRule="exact"/>
              <w:textAlignment w:val="auto"/>
              <w:rPr>
                <w:rFonts w:ascii="宋体" w:hAnsi="宋体" w:cs="宋体"/>
                <w:color w:val="auto"/>
                <w:szCs w:val="21"/>
                <w:lang w:val="zh-CN"/>
              </w:rPr>
            </w:pPr>
            <w:r>
              <w:rPr>
                <w:rFonts w:hint="eastAsia" w:ascii="宋体" w:hAnsi="宋体" w:cs="宋体"/>
                <w:color w:val="auto"/>
                <w:szCs w:val="21"/>
                <w:lang w:val="zh-CN"/>
              </w:rPr>
              <w:t>1）检查其外观及安装、通讯状态。</w:t>
            </w:r>
          </w:p>
          <w:p w14:paraId="2A16520C">
            <w:pPr>
              <w:keepNext w:val="0"/>
              <w:keepLines w:val="0"/>
              <w:pageBreakBefore w:val="0"/>
              <w:widowControl w:val="0"/>
              <w:kinsoku/>
              <w:wordWrap/>
              <w:overflowPunct/>
              <w:topLinePunct w:val="0"/>
              <w:autoSpaceDE w:val="0"/>
              <w:autoSpaceDN w:val="0"/>
              <w:bidi w:val="0"/>
              <w:adjustRightInd w:val="0"/>
              <w:snapToGrid w:val="0"/>
              <w:spacing w:line="360" w:lineRule="exact"/>
              <w:textAlignment w:val="auto"/>
              <w:rPr>
                <w:rFonts w:ascii="宋体" w:hAnsi="宋体" w:cs="宋体"/>
                <w:color w:val="auto"/>
                <w:szCs w:val="21"/>
                <w:lang w:val="zh-CN"/>
              </w:rPr>
            </w:pPr>
            <w:r>
              <w:rPr>
                <w:rFonts w:hint="eastAsia" w:ascii="宋体" w:hAnsi="宋体" w:cs="宋体"/>
                <w:color w:val="auto"/>
                <w:szCs w:val="21"/>
                <w:lang w:val="zh-CN"/>
              </w:rPr>
              <w:t>2）用专用火灾探测器实验装置进行加烟报警测试，检查其报警指示灯状态，并与消防中心的报警图形显示器核对其报警地址码和位置。   </w:t>
            </w:r>
          </w:p>
          <w:p w14:paraId="1B2F18DD">
            <w:pPr>
              <w:keepNext w:val="0"/>
              <w:keepLines w:val="0"/>
              <w:pageBreakBefore w:val="0"/>
              <w:widowControl w:val="0"/>
              <w:kinsoku/>
              <w:wordWrap/>
              <w:overflowPunct/>
              <w:topLinePunct w:val="0"/>
              <w:autoSpaceDE w:val="0"/>
              <w:autoSpaceDN w:val="0"/>
              <w:bidi w:val="0"/>
              <w:adjustRightInd w:val="0"/>
              <w:snapToGrid w:val="0"/>
              <w:spacing w:line="360" w:lineRule="exact"/>
              <w:textAlignment w:val="auto"/>
              <w:rPr>
                <w:rFonts w:ascii="宋体" w:hAnsi="宋体" w:cs="宋体"/>
                <w:color w:val="auto"/>
                <w:szCs w:val="21"/>
                <w:lang w:val="zh-CN"/>
              </w:rPr>
            </w:pPr>
            <w:r>
              <w:rPr>
                <w:rFonts w:hint="eastAsia" w:ascii="宋体" w:hAnsi="宋体" w:cs="宋体"/>
                <w:color w:val="auto"/>
                <w:szCs w:val="21"/>
                <w:lang w:val="zh-CN"/>
              </w:rPr>
              <w:t>3）对主机已报出脏污的探头送专业清洗厂家进行清洗。</w:t>
            </w:r>
          </w:p>
          <w:p w14:paraId="778D9C44">
            <w:pPr>
              <w:keepNext w:val="0"/>
              <w:keepLines w:val="0"/>
              <w:pageBreakBefore w:val="0"/>
              <w:widowControl w:val="0"/>
              <w:kinsoku/>
              <w:wordWrap/>
              <w:overflowPunct/>
              <w:topLinePunct w:val="0"/>
              <w:autoSpaceDE w:val="0"/>
              <w:autoSpaceDN w:val="0"/>
              <w:bidi w:val="0"/>
              <w:adjustRightInd w:val="0"/>
              <w:snapToGrid w:val="0"/>
              <w:spacing w:line="360" w:lineRule="exact"/>
              <w:textAlignment w:val="auto"/>
              <w:rPr>
                <w:rFonts w:ascii="宋体" w:hAnsi="宋体" w:cs="宋体"/>
                <w:color w:val="auto"/>
                <w:szCs w:val="21"/>
              </w:rPr>
            </w:pPr>
            <w:r>
              <w:rPr>
                <w:rFonts w:hint="eastAsia" w:ascii="宋体" w:hAnsi="宋体" w:cs="宋体"/>
                <w:color w:val="auto"/>
                <w:szCs w:val="21"/>
                <w:lang w:val="zh-CN"/>
              </w:rPr>
              <w:t>4)每次检查测试的比例不少于33%，全部探测器检测周期为1年。</w:t>
            </w:r>
          </w:p>
        </w:tc>
      </w:tr>
      <w:tr w14:paraId="063C0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C4A10">
            <w:pPr>
              <w:keepNext w:val="0"/>
              <w:keepLines w:val="0"/>
              <w:pageBreakBefore w:val="0"/>
              <w:widowControl w:val="0"/>
              <w:kinsoku/>
              <w:wordWrap/>
              <w:overflowPunct/>
              <w:topLinePunct w:val="0"/>
              <w:bidi w:val="0"/>
              <w:adjustRightInd w:val="0"/>
              <w:snapToGrid w:val="0"/>
              <w:spacing w:line="360" w:lineRule="exact"/>
              <w:jc w:val="center"/>
              <w:textAlignment w:val="auto"/>
              <w:rPr>
                <w:rFonts w:ascii="宋体" w:hAnsi="宋体" w:cs="宋体"/>
                <w:color w:val="auto"/>
                <w:szCs w:val="21"/>
              </w:rPr>
            </w:pPr>
            <w:r>
              <w:rPr>
                <w:rFonts w:hint="eastAsia" w:ascii="宋体" w:hAnsi="宋体" w:cs="宋体"/>
                <w:color w:val="auto"/>
                <w:szCs w:val="21"/>
              </w:rPr>
              <w:t>3</w:t>
            </w:r>
          </w:p>
        </w:tc>
        <w:tc>
          <w:tcPr>
            <w:tcW w:w="7594" w:type="dxa"/>
            <w:tcBorders>
              <w:top w:val="single" w:color="000000" w:sz="4" w:space="0"/>
              <w:left w:val="single" w:color="000000" w:sz="4" w:space="0"/>
              <w:bottom w:val="single" w:color="000000" w:sz="4" w:space="0"/>
              <w:right w:val="single" w:color="000000" w:sz="4" w:space="0"/>
            </w:tcBorders>
            <w:shd w:val="clear" w:color="auto" w:fill="auto"/>
          </w:tcPr>
          <w:p w14:paraId="3D4057CE">
            <w:pPr>
              <w:keepNext w:val="0"/>
              <w:keepLines w:val="0"/>
              <w:pageBreakBefore w:val="0"/>
              <w:widowControl w:val="0"/>
              <w:kinsoku/>
              <w:wordWrap/>
              <w:overflowPunct/>
              <w:topLinePunct w:val="0"/>
              <w:autoSpaceDE w:val="0"/>
              <w:autoSpaceDN w:val="0"/>
              <w:bidi w:val="0"/>
              <w:adjustRightInd w:val="0"/>
              <w:snapToGrid w:val="0"/>
              <w:spacing w:line="360" w:lineRule="exact"/>
              <w:textAlignment w:val="auto"/>
              <w:rPr>
                <w:rFonts w:ascii="宋体" w:hAnsi="宋体" w:cs="宋体"/>
                <w:b/>
                <w:color w:val="auto"/>
                <w:szCs w:val="21"/>
                <w:lang w:val="zh-CN"/>
              </w:rPr>
            </w:pPr>
            <w:r>
              <w:rPr>
                <w:rFonts w:hint="eastAsia" w:ascii="宋体" w:hAnsi="宋体" w:cs="宋体"/>
                <w:b/>
                <w:color w:val="auto"/>
                <w:szCs w:val="21"/>
                <w:lang w:val="zh-CN"/>
              </w:rPr>
              <w:t>感温探测器</w:t>
            </w:r>
          </w:p>
          <w:p w14:paraId="7F32198B">
            <w:pPr>
              <w:keepNext w:val="0"/>
              <w:keepLines w:val="0"/>
              <w:pageBreakBefore w:val="0"/>
              <w:widowControl w:val="0"/>
              <w:kinsoku/>
              <w:wordWrap/>
              <w:overflowPunct/>
              <w:topLinePunct w:val="0"/>
              <w:autoSpaceDE w:val="0"/>
              <w:autoSpaceDN w:val="0"/>
              <w:bidi w:val="0"/>
              <w:adjustRightInd w:val="0"/>
              <w:snapToGrid w:val="0"/>
              <w:spacing w:line="360" w:lineRule="exact"/>
              <w:textAlignment w:val="auto"/>
              <w:rPr>
                <w:rFonts w:ascii="宋体" w:hAnsi="宋体" w:cs="宋体"/>
                <w:color w:val="auto"/>
                <w:szCs w:val="21"/>
                <w:lang w:val="zh-CN"/>
              </w:rPr>
            </w:pPr>
            <w:r>
              <w:rPr>
                <w:rFonts w:hint="eastAsia" w:ascii="宋体" w:hAnsi="宋体" w:cs="宋体"/>
                <w:color w:val="auto"/>
                <w:szCs w:val="21"/>
                <w:lang w:val="zh-CN"/>
              </w:rPr>
              <w:t>1）检查其外观及安装、通讯状态。</w:t>
            </w:r>
          </w:p>
          <w:p w14:paraId="12A51AF0">
            <w:pPr>
              <w:keepNext w:val="0"/>
              <w:keepLines w:val="0"/>
              <w:pageBreakBefore w:val="0"/>
              <w:widowControl w:val="0"/>
              <w:kinsoku/>
              <w:wordWrap/>
              <w:overflowPunct/>
              <w:topLinePunct w:val="0"/>
              <w:autoSpaceDE w:val="0"/>
              <w:autoSpaceDN w:val="0"/>
              <w:bidi w:val="0"/>
              <w:adjustRightInd w:val="0"/>
              <w:snapToGrid w:val="0"/>
              <w:spacing w:line="360" w:lineRule="exact"/>
              <w:textAlignment w:val="auto"/>
              <w:rPr>
                <w:rFonts w:ascii="宋体" w:hAnsi="宋体" w:cs="宋体"/>
                <w:color w:val="auto"/>
                <w:szCs w:val="21"/>
                <w:lang w:val="zh-CN"/>
              </w:rPr>
            </w:pPr>
            <w:r>
              <w:rPr>
                <w:rFonts w:hint="eastAsia" w:ascii="宋体" w:hAnsi="宋体" w:cs="宋体"/>
                <w:color w:val="auto"/>
                <w:szCs w:val="21"/>
                <w:lang w:val="zh-CN"/>
              </w:rPr>
              <w:t>2) 用电吹风机或专用加温工具进行加温报警测试，检查其报警指示灯状态，并与消防中心的报警图形显示器核对其报警地址码和位置。    </w:t>
            </w:r>
          </w:p>
          <w:p w14:paraId="26C3D854">
            <w:pPr>
              <w:keepNext w:val="0"/>
              <w:keepLines w:val="0"/>
              <w:pageBreakBefore w:val="0"/>
              <w:widowControl w:val="0"/>
              <w:kinsoku/>
              <w:wordWrap/>
              <w:overflowPunct/>
              <w:topLinePunct w:val="0"/>
              <w:autoSpaceDE w:val="0"/>
              <w:autoSpaceDN w:val="0"/>
              <w:bidi w:val="0"/>
              <w:adjustRightInd w:val="0"/>
              <w:snapToGrid w:val="0"/>
              <w:spacing w:line="360" w:lineRule="exact"/>
              <w:textAlignment w:val="auto"/>
              <w:rPr>
                <w:rFonts w:ascii="宋体" w:hAnsi="宋体" w:cs="宋体"/>
                <w:color w:val="auto"/>
                <w:szCs w:val="21"/>
              </w:rPr>
            </w:pPr>
            <w:r>
              <w:rPr>
                <w:rFonts w:hint="eastAsia" w:ascii="宋体" w:hAnsi="宋体" w:cs="宋体"/>
                <w:color w:val="auto"/>
                <w:szCs w:val="21"/>
                <w:lang w:val="zh-CN"/>
              </w:rPr>
              <w:t>3)每次检查测试的比例不少于33%，全部探测器检测周期为1年。</w:t>
            </w:r>
          </w:p>
        </w:tc>
      </w:tr>
      <w:tr w14:paraId="330AF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8078D">
            <w:pPr>
              <w:keepNext w:val="0"/>
              <w:keepLines w:val="0"/>
              <w:pageBreakBefore w:val="0"/>
              <w:widowControl w:val="0"/>
              <w:kinsoku/>
              <w:wordWrap/>
              <w:overflowPunct/>
              <w:topLinePunct w:val="0"/>
              <w:bidi w:val="0"/>
              <w:adjustRightInd w:val="0"/>
              <w:snapToGrid w:val="0"/>
              <w:spacing w:line="360" w:lineRule="exact"/>
              <w:jc w:val="center"/>
              <w:textAlignment w:val="auto"/>
              <w:rPr>
                <w:rFonts w:ascii="宋体" w:hAnsi="宋体" w:cs="宋体"/>
                <w:color w:val="auto"/>
                <w:szCs w:val="21"/>
              </w:rPr>
            </w:pPr>
            <w:r>
              <w:rPr>
                <w:rFonts w:hint="eastAsia" w:ascii="宋体" w:hAnsi="宋体" w:cs="宋体"/>
                <w:color w:val="auto"/>
                <w:szCs w:val="21"/>
              </w:rPr>
              <w:t>4</w:t>
            </w:r>
          </w:p>
        </w:tc>
        <w:tc>
          <w:tcPr>
            <w:tcW w:w="7594" w:type="dxa"/>
            <w:tcBorders>
              <w:top w:val="single" w:color="000000" w:sz="4" w:space="0"/>
              <w:left w:val="single" w:color="000000" w:sz="4" w:space="0"/>
              <w:bottom w:val="single" w:color="000000" w:sz="4" w:space="0"/>
              <w:right w:val="single" w:color="000000" w:sz="4" w:space="0"/>
            </w:tcBorders>
            <w:shd w:val="clear" w:color="auto" w:fill="auto"/>
          </w:tcPr>
          <w:p w14:paraId="61CE166B">
            <w:pPr>
              <w:keepNext w:val="0"/>
              <w:keepLines w:val="0"/>
              <w:pageBreakBefore w:val="0"/>
              <w:widowControl w:val="0"/>
              <w:kinsoku/>
              <w:wordWrap/>
              <w:overflowPunct/>
              <w:topLinePunct w:val="0"/>
              <w:autoSpaceDE w:val="0"/>
              <w:autoSpaceDN w:val="0"/>
              <w:bidi w:val="0"/>
              <w:adjustRightInd w:val="0"/>
              <w:snapToGrid w:val="0"/>
              <w:spacing w:line="360" w:lineRule="exact"/>
              <w:textAlignment w:val="auto"/>
              <w:rPr>
                <w:rFonts w:ascii="宋体" w:hAnsi="宋体" w:cs="宋体"/>
                <w:b/>
                <w:color w:val="auto"/>
                <w:szCs w:val="21"/>
                <w:lang w:val="zh-CN"/>
              </w:rPr>
            </w:pPr>
            <w:r>
              <w:rPr>
                <w:rFonts w:hint="eastAsia" w:ascii="宋体" w:hAnsi="宋体" w:cs="宋体"/>
                <w:b/>
                <w:color w:val="auto"/>
                <w:szCs w:val="21"/>
                <w:lang w:val="zh-CN"/>
              </w:rPr>
              <w:t>手动报警器：</w:t>
            </w:r>
          </w:p>
          <w:p w14:paraId="03D98176">
            <w:pPr>
              <w:keepNext w:val="0"/>
              <w:keepLines w:val="0"/>
              <w:pageBreakBefore w:val="0"/>
              <w:widowControl w:val="0"/>
              <w:kinsoku/>
              <w:wordWrap/>
              <w:overflowPunct/>
              <w:topLinePunct w:val="0"/>
              <w:autoSpaceDE w:val="0"/>
              <w:autoSpaceDN w:val="0"/>
              <w:bidi w:val="0"/>
              <w:adjustRightInd w:val="0"/>
              <w:snapToGrid w:val="0"/>
              <w:spacing w:line="360" w:lineRule="exact"/>
              <w:textAlignment w:val="auto"/>
              <w:rPr>
                <w:rFonts w:ascii="宋体" w:hAnsi="宋体" w:cs="宋体"/>
                <w:color w:val="auto"/>
                <w:szCs w:val="21"/>
                <w:lang w:val="zh-CN"/>
              </w:rPr>
            </w:pPr>
            <w:r>
              <w:rPr>
                <w:rFonts w:hint="eastAsia" w:ascii="宋体" w:hAnsi="宋体" w:cs="宋体"/>
                <w:color w:val="auto"/>
                <w:szCs w:val="21"/>
                <w:lang w:val="zh-CN"/>
              </w:rPr>
              <w:t>1)检查其外观安装、通讯状态。</w:t>
            </w:r>
          </w:p>
          <w:p w14:paraId="25056766">
            <w:pPr>
              <w:keepNext w:val="0"/>
              <w:keepLines w:val="0"/>
              <w:pageBreakBefore w:val="0"/>
              <w:widowControl w:val="0"/>
              <w:kinsoku/>
              <w:wordWrap/>
              <w:overflowPunct/>
              <w:topLinePunct w:val="0"/>
              <w:autoSpaceDE w:val="0"/>
              <w:autoSpaceDN w:val="0"/>
              <w:bidi w:val="0"/>
              <w:adjustRightInd w:val="0"/>
              <w:snapToGrid w:val="0"/>
              <w:spacing w:line="360" w:lineRule="exact"/>
              <w:textAlignment w:val="auto"/>
              <w:rPr>
                <w:rFonts w:ascii="宋体" w:hAnsi="宋体" w:cs="宋体"/>
                <w:color w:val="auto"/>
                <w:szCs w:val="21"/>
                <w:lang w:val="zh-CN"/>
              </w:rPr>
            </w:pPr>
            <w:r>
              <w:rPr>
                <w:rFonts w:hint="eastAsia" w:ascii="宋体" w:hAnsi="宋体" w:cs="宋体"/>
                <w:color w:val="auto"/>
                <w:szCs w:val="21"/>
                <w:lang w:val="zh-CN"/>
              </w:rPr>
              <w:t>2)用专用的手报测试钥匙对手报进行报警测试，并与消防中心的报警图形显示器核对其报警地址码和位置。</w:t>
            </w:r>
          </w:p>
        </w:tc>
      </w:tr>
      <w:tr w14:paraId="756E2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737D8">
            <w:pPr>
              <w:keepNext w:val="0"/>
              <w:keepLines w:val="0"/>
              <w:pageBreakBefore w:val="0"/>
              <w:widowControl w:val="0"/>
              <w:kinsoku/>
              <w:wordWrap/>
              <w:overflowPunct/>
              <w:topLinePunct w:val="0"/>
              <w:bidi w:val="0"/>
              <w:adjustRightInd w:val="0"/>
              <w:snapToGrid w:val="0"/>
              <w:spacing w:line="360" w:lineRule="exact"/>
              <w:jc w:val="center"/>
              <w:textAlignment w:val="auto"/>
              <w:rPr>
                <w:rFonts w:ascii="宋体" w:hAnsi="宋体" w:cs="宋体"/>
                <w:color w:val="auto"/>
                <w:szCs w:val="21"/>
              </w:rPr>
            </w:pPr>
            <w:r>
              <w:rPr>
                <w:rFonts w:hint="eastAsia" w:ascii="宋体" w:hAnsi="宋体" w:cs="宋体"/>
                <w:color w:val="auto"/>
                <w:szCs w:val="21"/>
              </w:rPr>
              <w:t>5</w:t>
            </w:r>
          </w:p>
        </w:tc>
        <w:tc>
          <w:tcPr>
            <w:tcW w:w="7594" w:type="dxa"/>
            <w:tcBorders>
              <w:top w:val="single" w:color="000000" w:sz="4" w:space="0"/>
              <w:left w:val="single" w:color="000000" w:sz="4" w:space="0"/>
              <w:bottom w:val="single" w:color="000000" w:sz="4" w:space="0"/>
              <w:right w:val="single" w:color="000000" w:sz="4" w:space="0"/>
            </w:tcBorders>
            <w:shd w:val="clear" w:color="auto" w:fill="auto"/>
          </w:tcPr>
          <w:p w14:paraId="51969ADB">
            <w:pPr>
              <w:keepNext w:val="0"/>
              <w:keepLines w:val="0"/>
              <w:pageBreakBefore w:val="0"/>
              <w:widowControl w:val="0"/>
              <w:kinsoku/>
              <w:wordWrap/>
              <w:overflowPunct/>
              <w:topLinePunct w:val="0"/>
              <w:autoSpaceDE w:val="0"/>
              <w:autoSpaceDN w:val="0"/>
              <w:bidi w:val="0"/>
              <w:adjustRightInd w:val="0"/>
              <w:snapToGrid w:val="0"/>
              <w:spacing w:line="360" w:lineRule="exact"/>
              <w:textAlignment w:val="auto"/>
              <w:rPr>
                <w:rFonts w:ascii="宋体" w:hAnsi="宋体" w:cs="宋体"/>
                <w:b/>
                <w:color w:val="auto"/>
                <w:szCs w:val="21"/>
                <w:lang w:val="zh-CN"/>
              </w:rPr>
            </w:pPr>
            <w:r>
              <w:rPr>
                <w:rFonts w:hint="eastAsia" w:ascii="宋体" w:hAnsi="宋体" w:cs="宋体"/>
                <w:b/>
                <w:color w:val="auto"/>
                <w:szCs w:val="21"/>
                <w:lang w:val="zh-CN"/>
              </w:rPr>
              <w:t>声光报警器：</w:t>
            </w:r>
          </w:p>
          <w:p w14:paraId="0BB0300B">
            <w:pPr>
              <w:keepNext w:val="0"/>
              <w:keepLines w:val="0"/>
              <w:pageBreakBefore w:val="0"/>
              <w:widowControl w:val="0"/>
              <w:kinsoku/>
              <w:wordWrap/>
              <w:overflowPunct/>
              <w:topLinePunct w:val="0"/>
              <w:autoSpaceDE w:val="0"/>
              <w:autoSpaceDN w:val="0"/>
              <w:bidi w:val="0"/>
              <w:adjustRightInd w:val="0"/>
              <w:snapToGrid w:val="0"/>
              <w:spacing w:line="360" w:lineRule="exact"/>
              <w:textAlignment w:val="auto"/>
              <w:rPr>
                <w:rFonts w:ascii="宋体" w:hAnsi="宋体" w:cs="宋体"/>
                <w:color w:val="auto"/>
                <w:szCs w:val="21"/>
                <w:lang w:val="zh-CN"/>
              </w:rPr>
            </w:pPr>
            <w:r>
              <w:rPr>
                <w:rFonts w:hint="eastAsia" w:ascii="宋体" w:hAnsi="宋体" w:cs="宋体"/>
                <w:color w:val="auto"/>
                <w:szCs w:val="21"/>
                <w:lang w:val="zh-CN"/>
              </w:rPr>
              <w:t>1)检查其外观及安装、其模块的工作状态。</w:t>
            </w:r>
          </w:p>
          <w:p w14:paraId="464C51C0">
            <w:pPr>
              <w:keepNext w:val="0"/>
              <w:keepLines w:val="0"/>
              <w:pageBreakBefore w:val="0"/>
              <w:widowControl w:val="0"/>
              <w:kinsoku/>
              <w:wordWrap/>
              <w:overflowPunct/>
              <w:topLinePunct w:val="0"/>
              <w:autoSpaceDE w:val="0"/>
              <w:autoSpaceDN w:val="0"/>
              <w:bidi w:val="0"/>
              <w:adjustRightInd w:val="0"/>
              <w:snapToGrid w:val="0"/>
              <w:spacing w:line="360" w:lineRule="exact"/>
              <w:textAlignment w:val="auto"/>
              <w:rPr>
                <w:rFonts w:ascii="宋体" w:hAnsi="宋体" w:cs="宋体"/>
                <w:color w:val="auto"/>
                <w:szCs w:val="21"/>
                <w:lang w:val="zh-CN"/>
              </w:rPr>
            </w:pPr>
            <w:r>
              <w:rPr>
                <w:rFonts w:hint="eastAsia" w:ascii="宋体" w:hAnsi="宋体" w:cs="宋体"/>
                <w:color w:val="auto"/>
                <w:szCs w:val="21"/>
                <w:lang w:val="zh-CN"/>
              </w:rPr>
              <w:t>2)在消防中心操作台上进行相应的控制输出操作，并检查其工作状态。</w:t>
            </w:r>
          </w:p>
        </w:tc>
      </w:tr>
      <w:tr w14:paraId="21A66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558BE">
            <w:pPr>
              <w:keepNext w:val="0"/>
              <w:keepLines w:val="0"/>
              <w:pageBreakBefore w:val="0"/>
              <w:widowControl w:val="0"/>
              <w:kinsoku/>
              <w:wordWrap/>
              <w:overflowPunct/>
              <w:topLinePunct w:val="0"/>
              <w:bidi w:val="0"/>
              <w:adjustRightInd w:val="0"/>
              <w:snapToGrid w:val="0"/>
              <w:spacing w:line="360" w:lineRule="exact"/>
              <w:jc w:val="center"/>
              <w:textAlignment w:val="auto"/>
              <w:rPr>
                <w:rFonts w:ascii="宋体" w:hAnsi="宋体" w:cs="宋体"/>
                <w:color w:val="auto"/>
                <w:szCs w:val="21"/>
              </w:rPr>
            </w:pPr>
            <w:r>
              <w:rPr>
                <w:rFonts w:hint="eastAsia" w:ascii="宋体" w:hAnsi="宋体" w:cs="宋体"/>
                <w:color w:val="auto"/>
                <w:szCs w:val="21"/>
              </w:rPr>
              <w:t>6</w:t>
            </w:r>
          </w:p>
        </w:tc>
        <w:tc>
          <w:tcPr>
            <w:tcW w:w="7594" w:type="dxa"/>
            <w:tcBorders>
              <w:top w:val="single" w:color="000000" w:sz="4" w:space="0"/>
              <w:left w:val="single" w:color="000000" w:sz="4" w:space="0"/>
              <w:bottom w:val="single" w:color="000000" w:sz="4" w:space="0"/>
              <w:right w:val="single" w:color="000000" w:sz="4" w:space="0"/>
            </w:tcBorders>
            <w:shd w:val="clear" w:color="auto" w:fill="auto"/>
          </w:tcPr>
          <w:p w14:paraId="4097D6B7">
            <w:pPr>
              <w:keepNext w:val="0"/>
              <w:keepLines w:val="0"/>
              <w:pageBreakBefore w:val="0"/>
              <w:widowControl w:val="0"/>
              <w:kinsoku/>
              <w:wordWrap/>
              <w:overflowPunct/>
              <w:topLinePunct w:val="0"/>
              <w:autoSpaceDE w:val="0"/>
              <w:autoSpaceDN w:val="0"/>
              <w:bidi w:val="0"/>
              <w:adjustRightInd w:val="0"/>
              <w:snapToGrid w:val="0"/>
              <w:spacing w:line="360" w:lineRule="exact"/>
              <w:textAlignment w:val="auto"/>
              <w:rPr>
                <w:rFonts w:ascii="宋体" w:hAnsi="宋体" w:cs="宋体"/>
                <w:b/>
                <w:color w:val="auto"/>
                <w:szCs w:val="21"/>
                <w:lang w:val="zh-CN"/>
              </w:rPr>
            </w:pPr>
            <w:r>
              <w:rPr>
                <w:rFonts w:hint="eastAsia" w:ascii="宋体" w:hAnsi="宋体" w:cs="宋体"/>
                <w:b/>
                <w:color w:val="auto"/>
                <w:szCs w:val="21"/>
                <w:lang w:val="zh-CN"/>
              </w:rPr>
              <w:t>消防</w:t>
            </w:r>
            <w:r>
              <w:rPr>
                <w:rFonts w:hint="eastAsia" w:ascii="宋体" w:hAnsi="宋体" w:cs="宋体"/>
                <w:b/>
                <w:color w:val="auto"/>
                <w:szCs w:val="21"/>
              </w:rPr>
              <w:t>火警</w:t>
            </w:r>
            <w:r>
              <w:rPr>
                <w:rFonts w:hint="eastAsia" w:ascii="宋体" w:hAnsi="宋体" w:cs="宋体"/>
                <w:b/>
                <w:color w:val="auto"/>
                <w:szCs w:val="21"/>
                <w:lang w:val="zh-CN"/>
              </w:rPr>
              <w:t>电话：</w:t>
            </w:r>
          </w:p>
          <w:p w14:paraId="7CA01762">
            <w:pPr>
              <w:keepNext w:val="0"/>
              <w:keepLines w:val="0"/>
              <w:pageBreakBefore w:val="0"/>
              <w:widowControl w:val="0"/>
              <w:kinsoku/>
              <w:wordWrap/>
              <w:overflowPunct/>
              <w:topLinePunct w:val="0"/>
              <w:autoSpaceDE w:val="0"/>
              <w:autoSpaceDN w:val="0"/>
              <w:bidi w:val="0"/>
              <w:adjustRightInd w:val="0"/>
              <w:snapToGrid w:val="0"/>
              <w:spacing w:line="360" w:lineRule="exact"/>
              <w:textAlignment w:val="auto"/>
              <w:rPr>
                <w:rFonts w:ascii="宋体" w:hAnsi="宋体" w:cs="宋体"/>
                <w:color w:val="auto"/>
                <w:szCs w:val="21"/>
                <w:lang w:val="zh-CN"/>
              </w:rPr>
            </w:pPr>
            <w:r>
              <w:rPr>
                <w:rFonts w:hint="eastAsia" w:ascii="宋体" w:hAnsi="宋体" w:cs="宋体"/>
                <w:color w:val="auto"/>
                <w:szCs w:val="21"/>
                <w:lang w:val="zh-CN"/>
              </w:rPr>
              <w:t>1)检查其外观及安装状态。</w:t>
            </w:r>
          </w:p>
          <w:p w14:paraId="5E86587B">
            <w:pPr>
              <w:keepNext w:val="0"/>
              <w:keepLines w:val="0"/>
              <w:pageBreakBefore w:val="0"/>
              <w:widowControl w:val="0"/>
              <w:kinsoku/>
              <w:wordWrap/>
              <w:overflowPunct/>
              <w:topLinePunct w:val="0"/>
              <w:autoSpaceDE w:val="0"/>
              <w:autoSpaceDN w:val="0"/>
              <w:bidi w:val="0"/>
              <w:adjustRightInd w:val="0"/>
              <w:snapToGrid w:val="0"/>
              <w:spacing w:line="360" w:lineRule="exact"/>
              <w:textAlignment w:val="auto"/>
              <w:rPr>
                <w:rFonts w:ascii="宋体" w:hAnsi="宋体" w:cs="宋体"/>
                <w:color w:val="auto"/>
                <w:szCs w:val="21"/>
                <w:lang w:val="zh-CN"/>
              </w:rPr>
            </w:pPr>
            <w:r>
              <w:rPr>
                <w:rFonts w:hint="eastAsia" w:ascii="宋体" w:hAnsi="宋体" w:cs="宋体"/>
                <w:color w:val="auto"/>
                <w:szCs w:val="21"/>
                <w:lang w:val="zh-CN"/>
              </w:rPr>
              <w:t>2)对消防专用固定电话进行消防中心与现场的呼叫和通话测试，对消防电话插孔进行与消防中心的通话功能测试。</w:t>
            </w:r>
          </w:p>
        </w:tc>
      </w:tr>
      <w:tr w14:paraId="0E484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4189">
            <w:pPr>
              <w:keepNext w:val="0"/>
              <w:keepLines w:val="0"/>
              <w:pageBreakBefore w:val="0"/>
              <w:widowControl w:val="0"/>
              <w:kinsoku/>
              <w:wordWrap/>
              <w:overflowPunct/>
              <w:topLinePunct w:val="0"/>
              <w:bidi w:val="0"/>
              <w:adjustRightInd w:val="0"/>
              <w:snapToGrid w:val="0"/>
              <w:spacing w:line="360" w:lineRule="exact"/>
              <w:jc w:val="center"/>
              <w:textAlignment w:val="auto"/>
              <w:rPr>
                <w:rFonts w:ascii="宋体" w:hAnsi="宋体" w:cs="宋体"/>
                <w:color w:val="auto"/>
                <w:szCs w:val="21"/>
              </w:rPr>
            </w:pPr>
            <w:r>
              <w:rPr>
                <w:rFonts w:hint="eastAsia" w:ascii="宋体" w:hAnsi="宋体" w:cs="宋体"/>
                <w:color w:val="auto"/>
                <w:szCs w:val="21"/>
              </w:rPr>
              <w:t>7</w:t>
            </w:r>
          </w:p>
        </w:tc>
        <w:tc>
          <w:tcPr>
            <w:tcW w:w="7594" w:type="dxa"/>
            <w:tcBorders>
              <w:top w:val="single" w:color="000000" w:sz="4" w:space="0"/>
              <w:left w:val="single" w:color="000000" w:sz="4" w:space="0"/>
              <w:bottom w:val="single" w:color="000000" w:sz="4" w:space="0"/>
              <w:right w:val="single" w:color="000000" w:sz="4" w:space="0"/>
            </w:tcBorders>
            <w:shd w:val="clear" w:color="auto" w:fill="auto"/>
          </w:tcPr>
          <w:p w14:paraId="2256572F">
            <w:pPr>
              <w:keepNext w:val="0"/>
              <w:keepLines w:val="0"/>
              <w:pageBreakBefore w:val="0"/>
              <w:widowControl w:val="0"/>
              <w:kinsoku/>
              <w:wordWrap/>
              <w:overflowPunct/>
              <w:topLinePunct w:val="0"/>
              <w:autoSpaceDE w:val="0"/>
              <w:autoSpaceDN w:val="0"/>
              <w:bidi w:val="0"/>
              <w:adjustRightInd w:val="0"/>
              <w:snapToGrid w:val="0"/>
              <w:spacing w:line="360" w:lineRule="exact"/>
              <w:textAlignment w:val="auto"/>
              <w:rPr>
                <w:rFonts w:ascii="宋体" w:hAnsi="宋体" w:cs="宋体"/>
                <w:b/>
                <w:color w:val="auto"/>
                <w:szCs w:val="21"/>
                <w:lang w:val="zh-CN"/>
              </w:rPr>
            </w:pPr>
            <w:r>
              <w:rPr>
                <w:rFonts w:hint="eastAsia" w:ascii="宋体" w:hAnsi="宋体" w:cs="宋体"/>
                <w:b/>
                <w:color w:val="auto"/>
                <w:szCs w:val="21"/>
                <w:lang w:val="zh-CN"/>
              </w:rPr>
              <w:t>消火栓启泵按钮：</w:t>
            </w:r>
          </w:p>
          <w:p w14:paraId="4863D1A7">
            <w:pPr>
              <w:keepNext w:val="0"/>
              <w:keepLines w:val="0"/>
              <w:pageBreakBefore w:val="0"/>
              <w:widowControl w:val="0"/>
              <w:kinsoku/>
              <w:wordWrap/>
              <w:overflowPunct/>
              <w:topLinePunct w:val="0"/>
              <w:autoSpaceDE w:val="0"/>
              <w:autoSpaceDN w:val="0"/>
              <w:bidi w:val="0"/>
              <w:adjustRightInd w:val="0"/>
              <w:snapToGrid w:val="0"/>
              <w:spacing w:line="360" w:lineRule="exact"/>
              <w:textAlignment w:val="auto"/>
              <w:rPr>
                <w:rFonts w:ascii="宋体" w:hAnsi="宋体" w:cs="宋体"/>
                <w:color w:val="auto"/>
                <w:szCs w:val="21"/>
                <w:lang w:val="zh-CN"/>
              </w:rPr>
            </w:pPr>
            <w:r>
              <w:rPr>
                <w:rFonts w:hint="eastAsia" w:ascii="宋体" w:hAnsi="宋体" w:cs="宋体"/>
                <w:color w:val="auto"/>
                <w:szCs w:val="21"/>
                <w:lang w:val="zh-CN"/>
              </w:rPr>
              <w:t>1)检查其外观及安装状态。</w:t>
            </w:r>
          </w:p>
          <w:p w14:paraId="75B8E96B">
            <w:pPr>
              <w:keepNext w:val="0"/>
              <w:keepLines w:val="0"/>
              <w:pageBreakBefore w:val="0"/>
              <w:widowControl w:val="0"/>
              <w:kinsoku/>
              <w:wordWrap/>
              <w:overflowPunct/>
              <w:topLinePunct w:val="0"/>
              <w:autoSpaceDE w:val="0"/>
              <w:autoSpaceDN w:val="0"/>
              <w:bidi w:val="0"/>
              <w:adjustRightInd w:val="0"/>
              <w:snapToGrid w:val="0"/>
              <w:spacing w:line="360" w:lineRule="exact"/>
              <w:textAlignment w:val="auto"/>
              <w:rPr>
                <w:rFonts w:ascii="宋体" w:hAnsi="宋体" w:cs="宋体"/>
                <w:color w:val="auto"/>
                <w:szCs w:val="21"/>
                <w:lang w:val="zh-CN"/>
              </w:rPr>
            </w:pPr>
            <w:r>
              <w:rPr>
                <w:rFonts w:hint="eastAsia" w:ascii="宋体" w:hAnsi="宋体" w:cs="宋体"/>
                <w:color w:val="auto"/>
                <w:szCs w:val="21"/>
                <w:lang w:val="zh-CN"/>
              </w:rPr>
              <w:t>2)将消火栓按钮的玻璃盖拧下,将玻璃片拿开,让按钮弹出使其报警,并与消防中心的报警图形显示器核对其报警地址码和位置。如消火栓按钮采用直接拉线至消防泵房进行启泵的方式,则在做此项测试检查时,应暂时先将消防水泵控制柜的设置开关置于手动状态。</w:t>
            </w:r>
          </w:p>
        </w:tc>
      </w:tr>
      <w:tr w14:paraId="3FE62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ACAC5">
            <w:pPr>
              <w:keepNext w:val="0"/>
              <w:keepLines w:val="0"/>
              <w:pageBreakBefore w:val="0"/>
              <w:widowControl w:val="0"/>
              <w:kinsoku/>
              <w:wordWrap/>
              <w:overflowPunct/>
              <w:topLinePunct w:val="0"/>
              <w:bidi w:val="0"/>
              <w:adjustRightInd w:val="0"/>
              <w:snapToGrid w:val="0"/>
              <w:spacing w:line="360" w:lineRule="exact"/>
              <w:jc w:val="center"/>
              <w:textAlignment w:val="auto"/>
              <w:rPr>
                <w:rFonts w:ascii="宋体" w:hAnsi="宋体" w:cs="宋体"/>
                <w:color w:val="auto"/>
                <w:szCs w:val="21"/>
              </w:rPr>
            </w:pPr>
            <w:r>
              <w:rPr>
                <w:rFonts w:hint="eastAsia" w:ascii="宋体" w:hAnsi="宋体" w:cs="宋体"/>
                <w:color w:val="auto"/>
                <w:szCs w:val="21"/>
              </w:rPr>
              <w:t>8</w:t>
            </w:r>
          </w:p>
        </w:tc>
        <w:tc>
          <w:tcPr>
            <w:tcW w:w="7594" w:type="dxa"/>
            <w:tcBorders>
              <w:top w:val="single" w:color="000000" w:sz="4" w:space="0"/>
              <w:left w:val="single" w:color="000000" w:sz="4" w:space="0"/>
              <w:bottom w:val="single" w:color="000000" w:sz="4" w:space="0"/>
              <w:right w:val="single" w:color="000000" w:sz="4" w:space="0"/>
            </w:tcBorders>
            <w:shd w:val="clear" w:color="auto" w:fill="auto"/>
          </w:tcPr>
          <w:p w14:paraId="63EC7D05">
            <w:pPr>
              <w:keepNext w:val="0"/>
              <w:keepLines w:val="0"/>
              <w:pageBreakBefore w:val="0"/>
              <w:widowControl w:val="0"/>
              <w:kinsoku/>
              <w:wordWrap/>
              <w:overflowPunct/>
              <w:topLinePunct w:val="0"/>
              <w:autoSpaceDE w:val="0"/>
              <w:autoSpaceDN w:val="0"/>
              <w:bidi w:val="0"/>
              <w:adjustRightInd w:val="0"/>
              <w:snapToGrid w:val="0"/>
              <w:spacing w:line="360" w:lineRule="exact"/>
              <w:textAlignment w:val="auto"/>
              <w:rPr>
                <w:rFonts w:ascii="宋体" w:hAnsi="宋体" w:cs="宋体"/>
                <w:b/>
                <w:color w:val="auto"/>
                <w:szCs w:val="21"/>
              </w:rPr>
            </w:pPr>
            <w:r>
              <w:rPr>
                <w:rFonts w:hint="eastAsia" w:ascii="宋体" w:hAnsi="宋体" w:cs="宋体"/>
                <w:b/>
                <w:color w:val="auto"/>
                <w:szCs w:val="21"/>
              </w:rPr>
              <w:t>消防水系统：</w:t>
            </w:r>
          </w:p>
          <w:p w14:paraId="33A2CB9B">
            <w:pPr>
              <w:keepNext w:val="0"/>
              <w:keepLines w:val="0"/>
              <w:pageBreakBefore w:val="0"/>
              <w:widowControl w:val="0"/>
              <w:kinsoku/>
              <w:wordWrap/>
              <w:overflowPunct/>
              <w:topLinePunct w:val="0"/>
              <w:autoSpaceDE w:val="0"/>
              <w:autoSpaceDN w:val="0"/>
              <w:bidi w:val="0"/>
              <w:adjustRightInd w:val="0"/>
              <w:snapToGrid w:val="0"/>
              <w:spacing w:line="360" w:lineRule="exact"/>
              <w:textAlignment w:val="auto"/>
              <w:rPr>
                <w:rFonts w:ascii="宋体" w:hAnsi="宋体" w:cs="宋体"/>
                <w:color w:val="auto"/>
                <w:szCs w:val="21"/>
                <w:lang w:val="zh-CN"/>
              </w:rPr>
            </w:pPr>
            <w:r>
              <w:rPr>
                <w:rFonts w:hint="eastAsia" w:ascii="宋体" w:hAnsi="宋体" w:cs="宋体"/>
                <w:color w:val="auto"/>
                <w:szCs w:val="21"/>
                <w:lang w:val="zh-CN"/>
              </w:rPr>
              <w:t>1)检查其外观及安装状态。</w:t>
            </w:r>
          </w:p>
          <w:p w14:paraId="3C426871">
            <w:pPr>
              <w:keepNext w:val="0"/>
              <w:keepLines w:val="0"/>
              <w:pageBreakBefore w:val="0"/>
              <w:widowControl w:val="0"/>
              <w:kinsoku/>
              <w:wordWrap/>
              <w:overflowPunct/>
              <w:topLinePunct w:val="0"/>
              <w:autoSpaceDE w:val="0"/>
              <w:autoSpaceDN w:val="0"/>
              <w:bidi w:val="0"/>
              <w:adjustRightInd w:val="0"/>
              <w:snapToGrid w:val="0"/>
              <w:spacing w:line="360" w:lineRule="exact"/>
              <w:textAlignment w:val="auto"/>
              <w:rPr>
                <w:rFonts w:ascii="宋体" w:hAnsi="宋体" w:cs="宋体"/>
                <w:color w:val="auto"/>
                <w:szCs w:val="21"/>
              </w:rPr>
            </w:pPr>
            <w:r>
              <w:rPr>
                <w:rFonts w:hint="eastAsia" w:ascii="宋体" w:hAnsi="宋体" w:cs="宋体"/>
                <w:color w:val="auto"/>
                <w:szCs w:val="21"/>
                <w:lang w:val="zh-CN"/>
              </w:rPr>
              <w:t>2)</w:t>
            </w:r>
            <w:r>
              <w:rPr>
                <w:rFonts w:hint="eastAsia" w:ascii="宋体" w:hAnsi="宋体" w:cs="宋体"/>
                <w:color w:val="auto"/>
                <w:szCs w:val="21"/>
              </w:rPr>
              <w:t>定期对消火栓、报警阀、喷头、管道进行检查保养</w:t>
            </w:r>
          </w:p>
          <w:p w14:paraId="715D1645">
            <w:pPr>
              <w:keepNext w:val="0"/>
              <w:keepLines w:val="0"/>
              <w:pageBreakBefore w:val="0"/>
              <w:widowControl w:val="0"/>
              <w:kinsoku/>
              <w:wordWrap/>
              <w:overflowPunct/>
              <w:topLinePunct w:val="0"/>
              <w:autoSpaceDE w:val="0"/>
              <w:autoSpaceDN w:val="0"/>
              <w:bidi w:val="0"/>
              <w:adjustRightInd w:val="0"/>
              <w:snapToGrid w:val="0"/>
              <w:spacing w:line="360" w:lineRule="exact"/>
              <w:textAlignment w:val="auto"/>
              <w:rPr>
                <w:rFonts w:ascii="宋体" w:hAnsi="宋体" w:cs="宋体"/>
                <w:color w:val="auto"/>
                <w:szCs w:val="21"/>
              </w:rPr>
            </w:pPr>
            <w:r>
              <w:rPr>
                <w:rFonts w:hint="eastAsia" w:ascii="宋体" w:hAnsi="宋体" w:cs="宋体"/>
                <w:color w:val="auto"/>
                <w:szCs w:val="21"/>
                <w:lang w:val="zh-CN"/>
              </w:rPr>
              <w:t>3）</w:t>
            </w:r>
            <w:r>
              <w:rPr>
                <w:rFonts w:hint="eastAsia" w:ascii="宋体" w:hAnsi="宋体" w:cs="宋体"/>
                <w:color w:val="auto"/>
                <w:szCs w:val="21"/>
              </w:rPr>
              <w:t>按计划对系统进行测试确保其正常工作</w:t>
            </w:r>
          </w:p>
        </w:tc>
      </w:tr>
    </w:tbl>
    <w:p w14:paraId="41C406E4">
      <w:pPr>
        <w:adjustRightInd w:val="0"/>
        <w:snapToGrid w:val="0"/>
        <w:spacing w:line="360" w:lineRule="exact"/>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自动喷水灭火系统：</w:t>
      </w:r>
    </w:p>
    <w:p w14:paraId="6D1FFF8A">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①</w:t>
      </w:r>
      <w:r>
        <w:rPr>
          <w:rFonts w:hint="eastAsia" w:ascii="宋体" w:hAnsi="宋体" w:eastAsia="宋体" w:cs="宋体"/>
          <w:color w:val="auto"/>
          <w:szCs w:val="21"/>
        </w:rPr>
        <w:t>每月对消防水泵、电磁阀进行启动测试，水流指示器动作、信息反馈试验等。</w:t>
      </w:r>
    </w:p>
    <w:p w14:paraId="0ACD137C">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②</w:t>
      </w:r>
      <w:r>
        <w:rPr>
          <w:rFonts w:hint="eastAsia" w:ascii="宋体" w:hAnsi="宋体" w:eastAsia="宋体" w:cs="宋体"/>
          <w:color w:val="auto"/>
          <w:szCs w:val="21"/>
        </w:rPr>
        <w:t>每月对水泵接合器完好性检查，消防水池、水箱等液位检查，各个阀门状态检查。</w:t>
      </w:r>
    </w:p>
    <w:p w14:paraId="13764350">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③</w:t>
      </w:r>
      <w:r>
        <w:rPr>
          <w:rFonts w:hint="eastAsia" w:ascii="宋体" w:hAnsi="宋体" w:eastAsia="宋体" w:cs="宋体"/>
          <w:color w:val="auto"/>
          <w:szCs w:val="21"/>
        </w:rPr>
        <w:t>每季度报警阀组的试水阀防水及其启动性测试。</w:t>
      </w:r>
    </w:p>
    <w:p w14:paraId="00CB9986">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④</w:t>
      </w:r>
      <w:r>
        <w:rPr>
          <w:rFonts w:hint="eastAsia" w:ascii="宋体" w:hAnsi="宋体" w:eastAsia="宋体" w:cs="宋体"/>
          <w:color w:val="auto"/>
          <w:szCs w:val="21"/>
        </w:rPr>
        <w:t>每季度室外阀门井中的控制阀门开启状况及其使用性能测试。</w:t>
      </w:r>
    </w:p>
    <w:p w14:paraId="3EE4A23D">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⑤</w:t>
      </w:r>
      <w:r>
        <w:rPr>
          <w:rFonts w:hint="eastAsia" w:ascii="宋体" w:hAnsi="宋体" w:eastAsia="宋体" w:cs="宋体"/>
          <w:color w:val="auto"/>
          <w:szCs w:val="21"/>
        </w:rPr>
        <w:t>每年水源供水能力测试。</w:t>
      </w:r>
    </w:p>
    <w:p w14:paraId="7C45D12B">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⑥</w:t>
      </w:r>
      <w:r>
        <w:rPr>
          <w:rFonts w:hint="eastAsia" w:ascii="宋体" w:hAnsi="宋体" w:eastAsia="宋体" w:cs="宋体"/>
          <w:color w:val="auto"/>
          <w:szCs w:val="21"/>
        </w:rPr>
        <w:t>每年水泵接合器通水加压测试。</w:t>
      </w:r>
    </w:p>
    <w:p w14:paraId="05AD3C8A">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⑦</w:t>
      </w:r>
      <w:r>
        <w:rPr>
          <w:rFonts w:hint="eastAsia" w:ascii="宋体" w:hAnsi="宋体" w:eastAsia="宋体" w:cs="宋体"/>
          <w:color w:val="auto"/>
          <w:szCs w:val="21"/>
        </w:rPr>
        <w:t>每年储水设备结构材料检查。</w:t>
      </w:r>
    </w:p>
    <w:p w14:paraId="1CACFAE1">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⑧</w:t>
      </w:r>
      <w:r>
        <w:rPr>
          <w:rFonts w:hint="eastAsia" w:ascii="宋体" w:hAnsi="宋体" w:eastAsia="宋体" w:cs="宋体"/>
          <w:color w:val="auto"/>
          <w:szCs w:val="21"/>
        </w:rPr>
        <w:t>每年过滤器排渣、完好状态检查。</w:t>
      </w:r>
    </w:p>
    <w:p w14:paraId="5B9EFD68">
      <w:pPr>
        <w:adjustRightInd w:val="0"/>
        <w:snapToGrid w:val="0"/>
        <w:spacing w:line="360" w:lineRule="exact"/>
        <w:ind w:firstLine="420" w:firstLineChars="200"/>
        <w:rPr>
          <w:rFonts w:hint="eastAsia"/>
          <w:color w:val="auto"/>
        </w:rPr>
      </w:pPr>
      <w:r>
        <w:rPr>
          <w:rFonts w:hint="eastAsia" w:ascii="宋体" w:hAnsi="宋体" w:eastAsia="宋体" w:cs="宋体"/>
          <w:color w:val="auto"/>
          <w:szCs w:val="21"/>
          <w:lang w:val="en-US" w:eastAsia="zh-CN"/>
        </w:rPr>
        <w:t>⑨</w:t>
      </w:r>
      <w:r>
        <w:rPr>
          <w:rFonts w:hint="eastAsia" w:ascii="宋体" w:hAnsi="宋体" w:eastAsia="宋体" w:cs="宋体"/>
          <w:color w:val="auto"/>
          <w:szCs w:val="21"/>
        </w:rPr>
        <w:t>每年系统联动测试。</w:t>
      </w:r>
    </w:p>
    <w:p w14:paraId="70DD5899">
      <w:pPr>
        <w:adjustRightInd w:val="0"/>
        <w:snapToGrid w:val="0"/>
        <w:spacing w:line="360" w:lineRule="exact"/>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消防供配电设施：</w:t>
      </w:r>
    </w:p>
    <w:p w14:paraId="09F3ED4D">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①</w:t>
      </w:r>
      <w:r>
        <w:rPr>
          <w:rFonts w:hint="eastAsia" w:ascii="宋体" w:hAnsi="宋体" w:eastAsia="宋体" w:cs="宋体"/>
          <w:color w:val="auto"/>
          <w:szCs w:val="21"/>
        </w:rPr>
        <w:t>每月检查集水坑排设备、自救逃生设备，消防电源及自动切换设备是否处于正常完好状态。</w:t>
      </w:r>
    </w:p>
    <w:p w14:paraId="17B8C86D">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②</w:t>
      </w:r>
      <w:r>
        <w:rPr>
          <w:rFonts w:hint="eastAsia" w:ascii="宋体" w:hAnsi="宋体" w:eastAsia="宋体" w:cs="宋体"/>
          <w:color w:val="auto"/>
          <w:szCs w:val="21"/>
        </w:rPr>
        <w:t>每季度试验消防电源末端的切换功能。</w:t>
      </w:r>
    </w:p>
    <w:p w14:paraId="3BC9ECC8">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③</w:t>
      </w:r>
      <w:r>
        <w:rPr>
          <w:rFonts w:hint="eastAsia" w:ascii="宋体" w:hAnsi="宋体" w:eastAsia="宋体" w:cs="宋体"/>
          <w:color w:val="auto"/>
          <w:szCs w:val="21"/>
        </w:rPr>
        <w:t>每年对供电设施的绝缘电阻、接地电阻等进行测量。</w:t>
      </w:r>
    </w:p>
    <w:p w14:paraId="6742B47A">
      <w:pPr>
        <w:adjustRightInd w:val="0"/>
        <w:snapToGrid w:val="0"/>
        <w:spacing w:line="360" w:lineRule="exact"/>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自动跟踪定位射流灭火系统：</w:t>
      </w:r>
    </w:p>
    <w:p w14:paraId="62F4EF3F">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①</w:t>
      </w:r>
      <w:r>
        <w:rPr>
          <w:rFonts w:hint="eastAsia" w:ascii="宋体" w:hAnsi="宋体" w:eastAsia="宋体" w:cs="宋体"/>
          <w:color w:val="auto"/>
          <w:szCs w:val="21"/>
        </w:rPr>
        <w:t>每月对消防水泵、电磁阀进行启动测试。</w:t>
      </w:r>
    </w:p>
    <w:p w14:paraId="60ADF8F2">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②</w:t>
      </w:r>
      <w:r>
        <w:rPr>
          <w:rFonts w:hint="eastAsia" w:ascii="宋体" w:hAnsi="宋体" w:eastAsia="宋体" w:cs="宋体"/>
          <w:color w:val="auto"/>
          <w:szCs w:val="21"/>
        </w:rPr>
        <w:t>每月测试水炮的巡检功能。</w:t>
      </w:r>
    </w:p>
    <w:p w14:paraId="4C092449">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③</w:t>
      </w:r>
      <w:r>
        <w:rPr>
          <w:rFonts w:hint="eastAsia" w:ascii="宋体" w:hAnsi="宋体" w:eastAsia="宋体" w:cs="宋体"/>
          <w:color w:val="auto"/>
          <w:szCs w:val="21"/>
        </w:rPr>
        <w:t>每年水源供水能力测试。</w:t>
      </w:r>
    </w:p>
    <w:p w14:paraId="376D86A5">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④</w:t>
      </w:r>
      <w:r>
        <w:rPr>
          <w:rFonts w:hint="eastAsia" w:ascii="宋体" w:hAnsi="宋体" w:eastAsia="宋体" w:cs="宋体"/>
          <w:color w:val="auto"/>
          <w:szCs w:val="21"/>
        </w:rPr>
        <w:t>每年系统联动测试。</w:t>
      </w:r>
    </w:p>
    <w:p w14:paraId="28E357F8">
      <w:pPr>
        <w:adjustRightInd w:val="0"/>
        <w:snapToGrid w:val="0"/>
        <w:spacing w:line="360" w:lineRule="exact"/>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气体灭火系统：</w:t>
      </w:r>
    </w:p>
    <w:p w14:paraId="13977346">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①</w:t>
      </w:r>
      <w:r>
        <w:rPr>
          <w:rFonts w:hint="eastAsia" w:ascii="宋体" w:hAnsi="宋体" w:eastAsia="宋体" w:cs="宋体"/>
          <w:color w:val="auto"/>
          <w:szCs w:val="21"/>
        </w:rPr>
        <w:t>每月气体灭火相关组件外观及机械性能检查。</w:t>
      </w:r>
    </w:p>
    <w:p w14:paraId="68D470C2">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②</w:t>
      </w:r>
      <w:r>
        <w:rPr>
          <w:rFonts w:hint="eastAsia" w:ascii="宋体" w:hAnsi="宋体" w:eastAsia="宋体" w:cs="宋体"/>
          <w:color w:val="auto"/>
          <w:szCs w:val="21"/>
        </w:rPr>
        <w:t>每月对相关设施定期清理保持整洁。</w:t>
      </w:r>
    </w:p>
    <w:p w14:paraId="362492B3">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③</w:t>
      </w:r>
      <w:r>
        <w:rPr>
          <w:rFonts w:hint="eastAsia" w:ascii="宋体" w:hAnsi="宋体" w:eastAsia="宋体" w:cs="宋体"/>
          <w:color w:val="auto"/>
          <w:szCs w:val="21"/>
        </w:rPr>
        <w:t>每月对气瓶压力进行检查。</w:t>
      </w:r>
    </w:p>
    <w:p w14:paraId="7EEC82AC">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④</w:t>
      </w:r>
      <w:r>
        <w:rPr>
          <w:rFonts w:hint="eastAsia" w:ascii="宋体" w:hAnsi="宋体" w:eastAsia="宋体" w:cs="宋体"/>
          <w:color w:val="auto"/>
          <w:szCs w:val="21"/>
        </w:rPr>
        <w:t>每季度可燃物的种类、分布情况，防护区的开口情况进行检查。</w:t>
      </w:r>
    </w:p>
    <w:p w14:paraId="5CC00FF4">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⑤</w:t>
      </w:r>
      <w:r>
        <w:rPr>
          <w:rFonts w:hint="eastAsia" w:ascii="宋体" w:hAnsi="宋体" w:eastAsia="宋体" w:cs="宋体"/>
          <w:color w:val="auto"/>
          <w:szCs w:val="21"/>
        </w:rPr>
        <w:t>每季度储存装置间的设备、灭火剂输送管道和支、吊架的固定，应无松动。</w:t>
      </w:r>
    </w:p>
    <w:p w14:paraId="12EDB950">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⑥</w:t>
      </w:r>
      <w:r>
        <w:rPr>
          <w:rFonts w:hint="eastAsia" w:ascii="宋体" w:hAnsi="宋体" w:eastAsia="宋体" w:cs="宋体"/>
          <w:color w:val="auto"/>
          <w:szCs w:val="21"/>
        </w:rPr>
        <w:t>每季度.连接管应无变形、裂纹及老化。必要时，送法定质量检验机构进行检测或更换。</w:t>
      </w:r>
    </w:p>
    <w:p w14:paraId="77FCD51B">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⑦</w:t>
      </w:r>
      <w:r>
        <w:rPr>
          <w:rFonts w:hint="eastAsia" w:ascii="宋体" w:hAnsi="宋体" w:eastAsia="宋体" w:cs="宋体"/>
          <w:color w:val="auto"/>
          <w:szCs w:val="21"/>
        </w:rPr>
        <w:t>每季度检查喷嘴孔口应无堵塞，灭火剂净重不得小于设计储存量的 90%。</w:t>
      </w:r>
    </w:p>
    <w:p w14:paraId="1C1FBAD4">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⑧</w:t>
      </w:r>
      <w:r>
        <w:rPr>
          <w:rFonts w:hint="eastAsia" w:ascii="宋体" w:hAnsi="宋体" w:eastAsia="宋体" w:cs="宋体"/>
          <w:color w:val="auto"/>
          <w:szCs w:val="21"/>
        </w:rPr>
        <w:t>每年检查启动装置的启动线，进行电控部分的联动试验，应启动正常。</w:t>
      </w:r>
    </w:p>
    <w:p w14:paraId="4CB1612E">
      <w:pPr>
        <w:adjustRightInd w:val="0"/>
        <w:snapToGrid w:val="0"/>
        <w:spacing w:line="360" w:lineRule="exact"/>
        <w:ind w:firstLine="420" w:firstLineChars="200"/>
        <w:rPr>
          <w:rFonts w:hint="eastAsia"/>
          <w:color w:val="auto"/>
        </w:rPr>
      </w:pPr>
      <w:r>
        <w:rPr>
          <w:rFonts w:hint="eastAsia" w:ascii="宋体" w:hAnsi="宋体" w:eastAsia="宋体" w:cs="宋体"/>
          <w:color w:val="auto"/>
          <w:szCs w:val="21"/>
          <w:lang w:val="en-US" w:eastAsia="zh-CN"/>
        </w:rPr>
        <w:t>⑨</w:t>
      </w:r>
      <w:r>
        <w:rPr>
          <w:rFonts w:hint="eastAsia" w:ascii="宋体" w:hAnsi="宋体" w:eastAsia="宋体" w:cs="宋体"/>
          <w:color w:val="auto"/>
          <w:szCs w:val="21"/>
        </w:rPr>
        <w:t>每年检查泄漏报警装置报警定量功能试验，检查的钢瓶比例 100%。</w:t>
      </w:r>
    </w:p>
    <w:p w14:paraId="322130C2">
      <w:pPr>
        <w:adjustRightInd w:val="0"/>
        <w:snapToGrid w:val="0"/>
        <w:spacing w:line="360" w:lineRule="exact"/>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灭火器：</w:t>
      </w:r>
    </w:p>
    <w:p w14:paraId="2A1D3386">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①</w:t>
      </w:r>
      <w:r>
        <w:rPr>
          <w:rFonts w:hint="eastAsia" w:ascii="宋体" w:hAnsi="宋体" w:eastAsia="宋体" w:cs="宋体"/>
          <w:color w:val="auto"/>
          <w:szCs w:val="21"/>
        </w:rPr>
        <w:t>定期巡查（每周至少一次），检查灭火器配置点状况、灭火器数量、外观、维修标示以及灭火器压力指示器等。</w:t>
      </w:r>
    </w:p>
    <w:p w14:paraId="0FB56596">
      <w:pPr>
        <w:adjustRightInd w:val="0"/>
        <w:snapToGrid w:val="0"/>
        <w:spacing w:line="360" w:lineRule="exact"/>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防排烟系统：</w:t>
      </w:r>
    </w:p>
    <w:p w14:paraId="04907AE9">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①</w:t>
      </w:r>
      <w:r>
        <w:rPr>
          <w:rFonts w:hint="eastAsia" w:ascii="宋体" w:hAnsi="宋体" w:eastAsia="宋体" w:cs="宋体"/>
          <w:color w:val="auto"/>
          <w:szCs w:val="21"/>
        </w:rPr>
        <w:t>每月查看机械加压送风系统、机械排烟系统控制柜的标志、仪表、指示灯、开关和控制按钮；用按钮启停每台风机，查看仪表及指示灯显示。</w:t>
      </w:r>
    </w:p>
    <w:p w14:paraId="2CED76D2">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②</w:t>
      </w:r>
      <w:r>
        <w:rPr>
          <w:rFonts w:hint="eastAsia" w:ascii="宋体" w:hAnsi="宋体" w:eastAsia="宋体" w:cs="宋体"/>
          <w:color w:val="auto"/>
          <w:szCs w:val="21"/>
        </w:rPr>
        <w:t>查看机械加压送风系统、机械排烟系统风机的外观和标志牌；在控制室远程手动启、停风机，查看运行及信号反馈情况。</w:t>
      </w:r>
    </w:p>
    <w:p w14:paraId="42A36BFB">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③</w:t>
      </w:r>
      <w:r>
        <w:rPr>
          <w:rFonts w:hint="eastAsia" w:ascii="宋体" w:hAnsi="宋体" w:eastAsia="宋体" w:cs="宋体"/>
          <w:color w:val="auto"/>
          <w:szCs w:val="21"/>
        </w:rPr>
        <w:t>每月查看送风阀、排烟阀、排烟防火阀、电动排烟窗的外观；手动、电动开启，手动复位，动作和信号反馈情况。</w:t>
      </w:r>
    </w:p>
    <w:p w14:paraId="7D592F4A">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④</w:t>
      </w:r>
      <w:r>
        <w:rPr>
          <w:rFonts w:hint="eastAsia" w:ascii="宋体" w:hAnsi="宋体" w:eastAsia="宋体" w:cs="宋体"/>
          <w:color w:val="auto"/>
          <w:szCs w:val="21"/>
        </w:rPr>
        <w:t>每月对防烟、排烟风机手动或自动启动试运转，检查有无锈蚀、螺丝松动。</w:t>
      </w:r>
    </w:p>
    <w:p w14:paraId="30402A05">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⑤</w:t>
      </w:r>
      <w:r>
        <w:rPr>
          <w:rFonts w:hint="eastAsia" w:ascii="宋体" w:hAnsi="宋体" w:eastAsia="宋体" w:cs="宋体"/>
          <w:color w:val="auto"/>
          <w:szCs w:val="21"/>
        </w:rPr>
        <w:t>每月对排烟窗手动或自动启动、复位试验，有无开关障碍每月供电线路检查供电线路有无老化，双回路自动切换电源功能等。</w:t>
      </w:r>
    </w:p>
    <w:p w14:paraId="50251C22">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⑥</w:t>
      </w:r>
      <w:r>
        <w:rPr>
          <w:rFonts w:hint="eastAsia" w:ascii="宋体" w:hAnsi="宋体" w:eastAsia="宋体" w:cs="宋体"/>
          <w:color w:val="auto"/>
          <w:szCs w:val="21"/>
        </w:rPr>
        <w:t>每半年对防火阀手动或自动启动、复位试验检查，有无变形、锈蚀及弹簧性能，确认性能可靠。</w:t>
      </w:r>
    </w:p>
    <w:p w14:paraId="4DB5AAFF">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⑦</w:t>
      </w:r>
      <w:r>
        <w:rPr>
          <w:rFonts w:hint="eastAsia" w:ascii="宋体" w:hAnsi="宋体" w:eastAsia="宋体" w:cs="宋体"/>
          <w:color w:val="auto"/>
          <w:szCs w:val="21"/>
        </w:rPr>
        <w:t>每半年对排烟防火阀手动或自动启动、复位试验检查，有无变形、锈蚀及弹簧性能，确认性能可靠。</w:t>
      </w:r>
    </w:p>
    <w:p w14:paraId="3D4E2727">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⑧</w:t>
      </w:r>
      <w:r>
        <w:rPr>
          <w:rFonts w:hint="eastAsia" w:ascii="宋体" w:hAnsi="宋体" w:eastAsia="宋体" w:cs="宋体"/>
          <w:color w:val="auto"/>
          <w:szCs w:val="21"/>
        </w:rPr>
        <w:t>每半年对送风阀（口）、排烟阀（口）手动或自动启动、复位试验检查，有无变形、锈蚀及弹簧性能，确认性能可靠。</w:t>
      </w:r>
    </w:p>
    <w:p w14:paraId="26FD941E">
      <w:pPr>
        <w:adjustRightInd w:val="0"/>
        <w:snapToGrid w:val="0"/>
        <w:spacing w:line="360" w:lineRule="exact"/>
        <w:ind w:firstLine="420" w:firstLineChars="200"/>
        <w:rPr>
          <w:rFonts w:hint="eastAsia"/>
          <w:color w:val="auto"/>
        </w:rPr>
      </w:pPr>
      <w:r>
        <w:rPr>
          <w:rFonts w:hint="eastAsia" w:ascii="宋体" w:hAnsi="宋体" w:eastAsia="宋体" w:cs="宋体"/>
          <w:color w:val="auto"/>
          <w:szCs w:val="21"/>
          <w:lang w:val="en-US" w:eastAsia="zh-CN"/>
        </w:rPr>
        <w:t>⑨</w:t>
      </w:r>
      <w:r>
        <w:rPr>
          <w:rFonts w:hint="eastAsia" w:ascii="宋体" w:hAnsi="宋体" w:eastAsia="宋体" w:cs="宋体"/>
          <w:color w:val="auto"/>
          <w:szCs w:val="21"/>
        </w:rPr>
        <w:t>每年对所安装全部防烟排烟系统进行 1 次联动试验和性能检测，其联动功能和性能参数应符合原设计要求。</w:t>
      </w:r>
    </w:p>
    <w:p w14:paraId="57FCE9F2">
      <w:pPr>
        <w:adjustRightInd w:val="0"/>
        <w:snapToGrid w:val="0"/>
        <w:spacing w:line="360" w:lineRule="exact"/>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火灾应急照明和疏散指示标志：</w:t>
      </w:r>
    </w:p>
    <w:p w14:paraId="4C2D60AB">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①</w:t>
      </w:r>
      <w:r>
        <w:rPr>
          <w:rFonts w:hint="eastAsia" w:ascii="宋体" w:hAnsi="宋体" w:eastAsia="宋体" w:cs="宋体"/>
          <w:color w:val="auto"/>
          <w:szCs w:val="21"/>
        </w:rPr>
        <w:t>每月检查消防应急灯具工作状态应急转换功能。</w:t>
      </w:r>
    </w:p>
    <w:p w14:paraId="5E382BCB">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②</w:t>
      </w:r>
      <w:r>
        <w:rPr>
          <w:rFonts w:hint="eastAsia" w:ascii="宋体" w:hAnsi="宋体" w:eastAsia="宋体" w:cs="宋体"/>
          <w:color w:val="auto"/>
          <w:szCs w:val="21"/>
        </w:rPr>
        <w:t>每季度检查消防应急灯具、应急照明集中电源和应急照明控制器的指示状态。</w:t>
      </w:r>
    </w:p>
    <w:p w14:paraId="6DBA80B9">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③</w:t>
      </w:r>
      <w:r>
        <w:rPr>
          <w:rFonts w:hint="eastAsia" w:ascii="宋体" w:hAnsi="宋体" w:eastAsia="宋体" w:cs="宋体"/>
          <w:color w:val="auto"/>
          <w:szCs w:val="21"/>
        </w:rPr>
        <w:t>每季度检查应急工作时间。</w:t>
      </w:r>
    </w:p>
    <w:p w14:paraId="4690B83A">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④</w:t>
      </w:r>
      <w:r>
        <w:rPr>
          <w:rFonts w:hint="eastAsia" w:ascii="宋体" w:hAnsi="宋体" w:eastAsia="宋体" w:cs="宋体"/>
          <w:color w:val="auto"/>
          <w:szCs w:val="21"/>
        </w:rPr>
        <w:t>每季度检查转入应急工作状态的控制功能。</w:t>
      </w:r>
    </w:p>
    <w:p w14:paraId="6A701EAE">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⑤</w:t>
      </w:r>
      <w:r>
        <w:rPr>
          <w:rFonts w:hint="eastAsia" w:ascii="宋体" w:hAnsi="宋体" w:eastAsia="宋体" w:cs="宋体"/>
          <w:color w:val="auto"/>
          <w:szCs w:val="21"/>
        </w:rPr>
        <w:t>每年除季检查内容外，还应对电池做容量检测试验，试验应急功能等。</w:t>
      </w:r>
    </w:p>
    <w:p w14:paraId="72AAE361">
      <w:pPr>
        <w:adjustRightInd w:val="0"/>
        <w:snapToGrid w:val="0"/>
        <w:spacing w:line="360" w:lineRule="exact"/>
        <w:ind w:firstLine="420" w:firstLineChars="200"/>
        <w:rPr>
          <w:rFonts w:hint="eastAsia"/>
          <w:color w:val="auto"/>
        </w:rPr>
      </w:pPr>
      <w:r>
        <w:rPr>
          <w:rFonts w:hint="eastAsia" w:ascii="宋体" w:hAnsi="宋体" w:eastAsia="宋体" w:cs="宋体"/>
          <w:color w:val="auto"/>
          <w:szCs w:val="21"/>
          <w:lang w:val="en-US" w:eastAsia="zh-CN"/>
        </w:rPr>
        <w:t>⑥</w:t>
      </w:r>
      <w:r>
        <w:rPr>
          <w:rFonts w:hint="eastAsia" w:ascii="宋体" w:hAnsi="宋体" w:eastAsia="宋体" w:cs="宋体"/>
          <w:color w:val="auto"/>
          <w:szCs w:val="21"/>
        </w:rPr>
        <w:t>每年试验自动和手动应急功能，进行与火灾自动报警系统的联动试验。</w:t>
      </w:r>
    </w:p>
    <w:p w14:paraId="18C077EE">
      <w:pPr>
        <w:adjustRightInd w:val="0"/>
        <w:snapToGrid w:val="0"/>
        <w:spacing w:line="360" w:lineRule="exact"/>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火灾自动报警系统：</w:t>
      </w:r>
    </w:p>
    <w:p w14:paraId="42854955">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①</w:t>
      </w:r>
      <w:r>
        <w:rPr>
          <w:rFonts w:hint="eastAsia" w:ascii="宋体" w:hAnsi="宋体" w:eastAsia="宋体" w:cs="宋体"/>
          <w:color w:val="auto"/>
          <w:szCs w:val="21"/>
        </w:rPr>
        <w:t>火灾自动报警系统应保持连续正常运行，不得随意中断。每月应检查火灾报警控制器的功能。</w:t>
      </w:r>
    </w:p>
    <w:p w14:paraId="28602A95">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②</w:t>
      </w:r>
      <w:r>
        <w:rPr>
          <w:rFonts w:hint="eastAsia" w:ascii="宋体" w:hAnsi="宋体" w:eastAsia="宋体" w:cs="宋体"/>
          <w:color w:val="auto"/>
          <w:szCs w:val="21"/>
        </w:rPr>
        <w:t>每季度采用专用检测仪器分期分批试验探测器的动作及确认灯显示。</w:t>
      </w:r>
    </w:p>
    <w:p w14:paraId="42ED75F0">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③</w:t>
      </w:r>
      <w:r>
        <w:rPr>
          <w:rFonts w:hint="eastAsia" w:ascii="宋体" w:hAnsi="宋体" w:eastAsia="宋体" w:cs="宋体"/>
          <w:color w:val="auto"/>
          <w:szCs w:val="21"/>
        </w:rPr>
        <w:t>每季度试验火灾警报装置的声光显示。</w:t>
      </w:r>
    </w:p>
    <w:p w14:paraId="7EBF6EF6">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④</w:t>
      </w:r>
      <w:r>
        <w:rPr>
          <w:rFonts w:hint="eastAsia" w:ascii="宋体" w:hAnsi="宋体" w:eastAsia="宋体" w:cs="宋体"/>
          <w:color w:val="auto"/>
          <w:szCs w:val="21"/>
        </w:rPr>
        <w:t>每季度试验水流指示器、压力开关等报警功能、信号显示。</w:t>
      </w:r>
    </w:p>
    <w:p w14:paraId="4263A25D">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⑤</w:t>
      </w:r>
      <w:r>
        <w:rPr>
          <w:rFonts w:hint="eastAsia" w:ascii="宋体" w:hAnsi="宋体" w:eastAsia="宋体" w:cs="宋体"/>
          <w:color w:val="auto"/>
          <w:szCs w:val="21"/>
        </w:rPr>
        <w:t>每季度对主电源和备用电源进行 1～3 次自动切换试验。</w:t>
      </w:r>
    </w:p>
    <w:p w14:paraId="4E69217D">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⑥</w:t>
      </w:r>
      <w:r>
        <w:rPr>
          <w:rFonts w:hint="eastAsia" w:ascii="宋体" w:hAnsi="宋体" w:eastAsia="宋体" w:cs="宋体"/>
          <w:color w:val="auto"/>
          <w:szCs w:val="21"/>
        </w:rPr>
        <w:t>每季度用自动或手动检查各消防控制设备的控制显示功能。</w:t>
      </w:r>
    </w:p>
    <w:p w14:paraId="584349BC">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⑦</w:t>
      </w:r>
      <w:r>
        <w:rPr>
          <w:rFonts w:hint="eastAsia" w:ascii="宋体" w:hAnsi="宋体" w:eastAsia="宋体" w:cs="宋体"/>
          <w:color w:val="auto"/>
          <w:szCs w:val="21"/>
        </w:rPr>
        <w:t>每年应用专用检测仪器对所安装的全部探测器和手动报警装置试验至少 1 次。</w:t>
      </w:r>
    </w:p>
    <w:p w14:paraId="4B404753">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⑧</w:t>
      </w:r>
      <w:r>
        <w:rPr>
          <w:rFonts w:hint="eastAsia" w:ascii="宋体" w:hAnsi="宋体" w:eastAsia="宋体" w:cs="宋体"/>
          <w:color w:val="auto"/>
          <w:szCs w:val="21"/>
        </w:rPr>
        <w:t>每年自动和手动打开排烟阀，关闭电动防火阀和空调系统。</w:t>
      </w:r>
    </w:p>
    <w:p w14:paraId="4DD2255E">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⑨</w:t>
      </w:r>
      <w:r>
        <w:rPr>
          <w:rFonts w:hint="eastAsia" w:ascii="宋体" w:hAnsi="宋体" w:eastAsia="宋体" w:cs="宋体"/>
          <w:color w:val="auto"/>
          <w:szCs w:val="21"/>
        </w:rPr>
        <w:t>每年对全部电动防火门、防火卷帘的试验至少一次。</w:t>
      </w:r>
    </w:p>
    <w:p w14:paraId="41982047">
      <w:pPr>
        <w:adjustRightInd w:val="0"/>
        <w:snapToGrid w:val="0"/>
        <w:spacing w:line="360" w:lineRule="exact"/>
        <w:ind w:firstLine="420" w:firstLineChars="200"/>
        <w:rPr>
          <w:rFonts w:hint="eastAsia"/>
          <w:color w:val="auto"/>
        </w:rPr>
      </w:pPr>
      <w:r>
        <w:rPr>
          <w:rFonts w:hint="eastAsia" w:ascii="宋体" w:hAnsi="宋体" w:eastAsia="宋体" w:cs="宋体"/>
          <w:color w:val="auto"/>
          <w:szCs w:val="21"/>
          <w:lang w:val="en-US" w:eastAsia="zh-CN"/>
        </w:rPr>
        <w:t>⑩</w:t>
      </w:r>
      <w:r>
        <w:rPr>
          <w:rFonts w:hint="eastAsia" w:ascii="宋体" w:hAnsi="宋体" w:eastAsia="宋体" w:cs="宋体"/>
          <w:color w:val="auto"/>
          <w:szCs w:val="21"/>
        </w:rPr>
        <w:t>每年强制切断非消防电源功能试验。</w:t>
      </w:r>
    </w:p>
    <w:p w14:paraId="514DF949">
      <w:pPr>
        <w:adjustRightInd w:val="0"/>
        <w:snapToGrid w:val="0"/>
        <w:spacing w:line="360" w:lineRule="exact"/>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消防供水设施：</w:t>
      </w:r>
    </w:p>
    <w:p w14:paraId="42DC3853">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①</w:t>
      </w:r>
      <w:r>
        <w:rPr>
          <w:rFonts w:hint="eastAsia" w:ascii="宋体" w:hAnsi="宋体" w:eastAsia="宋体" w:cs="宋体"/>
          <w:color w:val="auto"/>
          <w:szCs w:val="21"/>
        </w:rPr>
        <w:t>每月对水源控制阀进行外观检查，并应保证系统处于无故障状态。</w:t>
      </w:r>
    </w:p>
    <w:p w14:paraId="1493C124">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②</w:t>
      </w:r>
      <w:r>
        <w:rPr>
          <w:rFonts w:hint="eastAsia" w:ascii="宋体" w:hAnsi="宋体" w:eastAsia="宋体" w:cs="宋体"/>
          <w:color w:val="auto"/>
          <w:szCs w:val="21"/>
        </w:rPr>
        <w:t>每月应手动启动消防水泵运转一次，并检查供电电源的情况。</w:t>
      </w:r>
    </w:p>
    <w:p w14:paraId="6752A6D9">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③</w:t>
      </w:r>
      <w:r>
        <w:rPr>
          <w:rFonts w:hint="eastAsia" w:ascii="宋体" w:hAnsi="宋体" w:eastAsia="宋体" w:cs="宋体"/>
          <w:color w:val="auto"/>
          <w:szCs w:val="21"/>
        </w:rPr>
        <w:t>每周应模拟消防水泵自动控制的条件自动启动消防水泵运转一次，且自动记录自动巡检情况，每月应检测记录。</w:t>
      </w:r>
    </w:p>
    <w:p w14:paraId="3F9E5CF7">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④</w:t>
      </w:r>
      <w:r>
        <w:rPr>
          <w:rFonts w:hint="eastAsia" w:ascii="宋体" w:hAnsi="宋体" w:eastAsia="宋体" w:cs="宋体"/>
          <w:color w:val="auto"/>
          <w:szCs w:val="21"/>
        </w:rPr>
        <w:t>每月对稳压泵的停泵启泵压力和启泵次数等进行检查和记录运行情况。</w:t>
      </w:r>
    </w:p>
    <w:p w14:paraId="3E1D0D76">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⑤</w:t>
      </w:r>
      <w:r>
        <w:rPr>
          <w:rFonts w:hint="eastAsia" w:ascii="宋体" w:hAnsi="宋体" w:eastAsia="宋体" w:cs="宋体"/>
          <w:color w:val="auto"/>
          <w:szCs w:val="21"/>
        </w:rPr>
        <w:t>每月对气压水罐的压力和有效容积等进行一次检测。</w:t>
      </w:r>
    </w:p>
    <w:p w14:paraId="3CA1117E">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⑥</w:t>
      </w:r>
      <w:r>
        <w:rPr>
          <w:rFonts w:hint="eastAsia" w:ascii="宋体" w:hAnsi="宋体" w:eastAsia="宋体" w:cs="宋体"/>
          <w:color w:val="auto"/>
          <w:szCs w:val="21"/>
        </w:rPr>
        <w:t>每季度应对消防水泵的出流量和压力进行一次试验。</w:t>
      </w:r>
    </w:p>
    <w:p w14:paraId="12FD2AF9">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⑦</w:t>
      </w:r>
      <w:r>
        <w:rPr>
          <w:rFonts w:hint="eastAsia" w:ascii="宋体" w:hAnsi="宋体" w:eastAsia="宋体" w:cs="宋体"/>
          <w:color w:val="auto"/>
          <w:szCs w:val="21"/>
        </w:rPr>
        <w:t>每季度对室外阀门井中进水管上的控制阀门进行一次检查，并应核实其处于全开启状态。</w:t>
      </w:r>
    </w:p>
    <w:p w14:paraId="7F9682D8">
      <w:pPr>
        <w:adjustRightInd w:val="0"/>
        <w:snapToGrid w:val="0"/>
        <w:spacing w:line="360" w:lineRule="exact"/>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消火栓灭火系统：</w:t>
      </w:r>
    </w:p>
    <w:p w14:paraId="48BA42B7">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①</w:t>
      </w:r>
      <w:r>
        <w:rPr>
          <w:rFonts w:hint="eastAsia" w:ascii="宋体" w:hAnsi="宋体" w:eastAsia="宋体" w:cs="宋体"/>
          <w:color w:val="auto"/>
          <w:szCs w:val="21"/>
        </w:rPr>
        <w:t>每季度对室外消火栓按规定流程进行检查。</w:t>
      </w:r>
    </w:p>
    <w:p w14:paraId="2FE425E1">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②</w:t>
      </w:r>
      <w:r>
        <w:rPr>
          <w:rFonts w:hint="eastAsia" w:ascii="宋体" w:hAnsi="宋体" w:eastAsia="宋体" w:cs="宋体"/>
          <w:color w:val="auto"/>
          <w:szCs w:val="21"/>
        </w:rPr>
        <w:t>室内消火栓每半年检查消火栓是否漏水，箱内设施齐全，外观及控制线路等完好。</w:t>
      </w:r>
    </w:p>
    <w:p w14:paraId="56F4AD8A">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③</w:t>
      </w:r>
      <w:r>
        <w:rPr>
          <w:rFonts w:hint="eastAsia" w:ascii="宋体" w:hAnsi="宋体" w:eastAsia="宋体" w:cs="宋体"/>
          <w:color w:val="auto"/>
          <w:szCs w:val="21"/>
        </w:rPr>
        <w:t>每月对消火栓供水管路进行外观，管路漏水，阀门状态，螺丝松紧及相关控制设备的清理维护。</w:t>
      </w:r>
    </w:p>
    <w:p w14:paraId="2FE982C4">
      <w:pPr>
        <w:adjustRightInd w:val="0"/>
        <w:snapToGrid w:val="0"/>
        <w:spacing w:line="360" w:lineRule="exact"/>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应急广播系统：</w:t>
      </w:r>
    </w:p>
    <w:p w14:paraId="207C9D8F">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每季度选层试验消防应急广播设备，并试验公共广播强制转入火灾应急广播的功能。</w:t>
      </w:r>
    </w:p>
    <w:p w14:paraId="3AA3FB8A">
      <w:pPr>
        <w:adjustRightInd w:val="0"/>
        <w:snapToGrid w:val="0"/>
        <w:spacing w:line="360" w:lineRule="exact"/>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防火分隔设施：</w:t>
      </w:r>
    </w:p>
    <w:p w14:paraId="19426C0D">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①</w:t>
      </w:r>
      <w:r>
        <w:rPr>
          <w:rFonts w:hint="eastAsia" w:ascii="宋体" w:hAnsi="宋体" w:eastAsia="宋体" w:cs="宋体"/>
          <w:color w:val="auto"/>
          <w:szCs w:val="21"/>
        </w:rPr>
        <w:t>每周检查木质防火门、防火卷帘门、电动防火门等的完好情况，发现问题及时维保并通报采购人。</w:t>
      </w:r>
    </w:p>
    <w:p w14:paraId="739625D5">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②</w:t>
      </w:r>
      <w:r>
        <w:rPr>
          <w:rFonts w:hint="eastAsia" w:ascii="宋体" w:hAnsi="宋体" w:eastAsia="宋体" w:cs="宋体"/>
          <w:color w:val="auto"/>
          <w:szCs w:val="21"/>
        </w:rPr>
        <w:t>每季度手动或自动启停防火卷帘门、电动防火门试验并检查其性能，发现问题及时维保并通报采购人。</w:t>
      </w:r>
    </w:p>
    <w:p w14:paraId="552959CC">
      <w:pPr>
        <w:adjustRightInd w:val="0"/>
        <w:snapToGrid w:val="0"/>
        <w:spacing w:line="360" w:lineRule="exact"/>
        <w:ind w:firstLine="422" w:firstLineChars="200"/>
        <w:rPr>
          <w:rFonts w:hint="eastAsia" w:ascii="宋体" w:hAnsi="宋体" w:eastAsia="宋体" w:cs="宋体"/>
          <w:b/>
          <w:bCs/>
          <w:color w:val="auto"/>
          <w:szCs w:val="21"/>
          <w:lang w:eastAsia="zh-CN"/>
        </w:rPr>
      </w:pPr>
      <w:r>
        <w:rPr>
          <w:rFonts w:hint="eastAsia" w:ascii="宋体" w:hAnsi="宋体" w:eastAsia="宋体" w:cs="宋体"/>
          <w:b/>
          <w:bCs/>
          <w:color w:val="auto"/>
          <w:szCs w:val="21"/>
        </w:rPr>
        <w:t>以上内容及其他消防设施系统根据采购人现场实际情况，编制月度、季度、年度详细保养计划实施</w:t>
      </w:r>
      <w:r>
        <w:rPr>
          <w:rFonts w:hint="eastAsia" w:ascii="宋体" w:hAnsi="宋体" w:eastAsia="宋体" w:cs="宋体"/>
          <w:b/>
          <w:bCs/>
          <w:color w:val="auto"/>
          <w:szCs w:val="21"/>
          <w:lang w:eastAsia="zh-CN"/>
        </w:rPr>
        <w:t>。</w:t>
      </w:r>
    </w:p>
    <w:p w14:paraId="29A1BF75">
      <w:pPr>
        <w:adjustRightInd w:val="0"/>
        <w:snapToGrid w:val="0"/>
        <w:spacing w:line="360" w:lineRule="exact"/>
        <w:ind w:firstLine="420" w:firstLineChars="200"/>
        <w:rPr>
          <w:rFonts w:ascii="宋体" w:hAnsi="宋体" w:cs="宋体"/>
          <w:color w:val="auto"/>
          <w:szCs w:val="21"/>
        </w:rPr>
      </w:pPr>
      <w:r>
        <w:rPr>
          <w:rFonts w:hint="eastAsia" w:ascii="宋体" w:hAnsi="宋体" w:cs="宋体"/>
          <w:color w:val="auto"/>
          <w:szCs w:val="21"/>
        </w:rPr>
        <w:t>（</w:t>
      </w:r>
      <w:r>
        <w:rPr>
          <w:rFonts w:hint="eastAsia" w:ascii="宋体" w:hAnsi="宋体" w:cs="宋体"/>
          <w:b/>
          <w:color w:val="auto"/>
          <w:szCs w:val="21"/>
          <w:lang w:val="en-US" w:eastAsia="zh-CN"/>
        </w:rPr>
        <w:t>二</w:t>
      </w:r>
      <w:r>
        <w:rPr>
          <w:rFonts w:hint="eastAsia" w:ascii="宋体" w:hAnsi="宋体" w:cs="宋体"/>
          <w:color w:val="auto"/>
          <w:szCs w:val="21"/>
        </w:rPr>
        <w:t>）</w:t>
      </w:r>
      <w:r>
        <w:rPr>
          <w:rFonts w:hint="eastAsia" w:ascii="宋体" w:hAnsi="宋体" w:cs="宋体"/>
          <w:b/>
          <w:color w:val="auto"/>
          <w:szCs w:val="21"/>
        </w:rPr>
        <w:t>服务期限：服务期限为一年，其中：前三个月为试用期，试用期满须经采购人考核，考核不合格，采购人有权解除合同。</w:t>
      </w:r>
    </w:p>
    <w:p w14:paraId="5B96E05B">
      <w:pPr>
        <w:adjustRightInd w:val="0"/>
        <w:snapToGrid w:val="0"/>
        <w:spacing w:line="36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w:t>
      </w:r>
      <w:r>
        <w:rPr>
          <w:rFonts w:hint="eastAsia" w:ascii="宋体" w:hAnsi="宋体" w:eastAsia="宋体" w:cs="宋体"/>
          <w:b/>
          <w:color w:val="auto"/>
          <w:szCs w:val="21"/>
          <w:lang w:val="en-US" w:eastAsia="zh-CN"/>
        </w:rPr>
        <w:t>三</w:t>
      </w:r>
      <w:r>
        <w:rPr>
          <w:rFonts w:hint="eastAsia" w:ascii="宋体" w:hAnsi="宋体" w:eastAsia="宋体" w:cs="宋体"/>
          <w:b/>
          <w:color w:val="auto"/>
          <w:szCs w:val="21"/>
        </w:rPr>
        <w:t>）付款方式</w:t>
      </w:r>
      <w:r>
        <w:rPr>
          <w:rFonts w:hint="eastAsia" w:ascii="宋体" w:hAnsi="宋体" w:eastAsia="宋体" w:cs="宋体"/>
          <w:b/>
          <w:color w:val="auto"/>
          <w:szCs w:val="21"/>
          <w:lang w:eastAsia="zh-CN"/>
        </w:rPr>
        <w:t>：合同签订满6个月后采购人向成交供应商支付合同金额的</w:t>
      </w:r>
      <w:r>
        <w:rPr>
          <w:rFonts w:hint="eastAsia" w:ascii="宋体" w:hAnsi="宋体" w:cs="宋体"/>
          <w:b/>
          <w:color w:val="auto"/>
          <w:szCs w:val="21"/>
          <w:lang w:val="en-US" w:eastAsia="zh-CN"/>
        </w:rPr>
        <w:t>50</w:t>
      </w:r>
      <w:r>
        <w:rPr>
          <w:rFonts w:hint="eastAsia" w:ascii="宋体" w:hAnsi="宋体" w:eastAsia="宋体" w:cs="宋体"/>
          <w:b/>
          <w:color w:val="auto"/>
          <w:szCs w:val="21"/>
          <w:lang w:eastAsia="zh-CN"/>
        </w:rPr>
        <w:t>%，</w:t>
      </w:r>
      <w:r>
        <w:rPr>
          <w:rFonts w:hint="eastAsia" w:ascii="宋体" w:hAnsi="宋体" w:cs="宋体"/>
          <w:b/>
          <w:color w:val="auto"/>
          <w:szCs w:val="21"/>
          <w:lang w:val="en-US" w:eastAsia="zh-CN"/>
        </w:rPr>
        <w:t>剩余</w:t>
      </w:r>
      <w:r>
        <w:rPr>
          <w:rFonts w:hint="eastAsia" w:ascii="宋体" w:hAnsi="宋体" w:eastAsia="宋体" w:cs="宋体"/>
          <w:b/>
          <w:color w:val="auto"/>
          <w:szCs w:val="21"/>
          <w:lang w:eastAsia="zh-CN"/>
        </w:rPr>
        <w:t>5</w:t>
      </w:r>
      <w:r>
        <w:rPr>
          <w:rFonts w:hint="eastAsia" w:ascii="宋体" w:hAnsi="宋体" w:cs="宋体"/>
          <w:b/>
          <w:color w:val="auto"/>
          <w:szCs w:val="21"/>
          <w:lang w:val="en-US" w:eastAsia="zh-CN"/>
        </w:rPr>
        <w:t>0</w:t>
      </w:r>
      <w:r>
        <w:rPr>
          <w:rFonts w:hint="eastAsia" w:ascii="宋体" w:hAnsi="宋体" w:eastAsia="宋体" w:cs="宋体"/>
          <w:b/>
          <w:color w:val="auto"/>
          <w:szCs w:val="21"/>
          <w:lang w:eastAsia="zh-CN"/>
        </w:rPr>
        <w:t>%服务期满经验收合格后</w:t>
      </w:r>
      <w:r>
        <w:rPr>
          <w:rFonts w:hint="eastAsia" w:ascii="宋体" w:hAnsi="宋体" w:cs="宋体"/>
          <w:b/>
          <w:color w:val="auto"/>
          <w:szCs w:val="21"/>
          <w:lang w:val="en-US" w:eastAsia="zh-CN"/>
        </w:rPr>
        <w:t>一次性付清</w:t>
      </w:r>
      <w:r>
        <w:rPr>
          <w:rFonts w:hint="eastAsia" w:ascii="宋体" w:hAnsi="宋体" w:eastAsia="宋体" w:cs="宋体"/>
          <w:b/>
          <w:color w:val="auto"/>
          <w:szCs w:val="21"/>
          <w:lang w:eastAsia="zh-CN"/>
        </w:rPr>
        <w:t>。</w:t>
      </w:r>
    </w:p>
    <w:p w14:paraId="7E4D7CDE">
      <w:pPr>
        <w:adjustRightInd w:val="0"/>
        <w:snapToGrid w:val="0"/>
        <w:spacing w:line="36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lang w:val="en-US" w:eastAsia="zh-CN"/>
        </w:rPr>
        <w:t>四</w:t>
      </w:r>
      <w:r>
        <w:rPr>
          <w:rFonts w:hint="eastAsia" w:ascii="宋体" w:hAnsi="宋体" w:eastAsia="宋体" w:cs="宋体"/>
          <w:b/>
          <w:color w:val="auto"/>
          <w:szCs w:val="21"/>
        </w:rPr>
        <w:t>、询价响应文件的内容：</w:t>
      </w:r>
    </w:p>
    <w:p w14:paraId="2D84A328">
      <w:pPr>
        <w:adjustRightInd w:val="0"/>
        <w:snapToGrid w:val="0"/>
        <w:spacing w:line="36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（一）资格证明材料（提供复印件并加盖公章）</w:t>
      </w:r>
    </w:p>
    <w:p w14:paraId="79D91852">
      <w:pPr>
        <w:adjustRightInd w:val="0"/>
        <w:snapToGrid w:val="0"/>
        <w:spacing w:line="360" w:lineRule="exact"/>
        <w:ind w:firstLine="420" w:firstLineChars="200"/>
        <w:rPr>
          <w:rFonts w:ascii="宋体" w:hAnsi="宋体" w:cs="宋体"/>
          <w:color w:val="auto"/>
        </w:rPr>
      </w:pPr>
      <w:r>
        <w:rPr>
          <w:rFonts w:hint="eastAsia" w:ascii="宋体" w:hAnsi="宋体" w:cs="宋体"/>
          <w:bCs/>
          <w:color w:val="auto"/>
          <w:kern w:val="0"/>
          <w:szCs w:val="21"/>
        </w:rPr>
        <w:t>1.</w:t>
      </w:r>
      <w:r>
        <w:rPr>
          <w:rFonts w:hint="eastAsia" w:ascii="宋体" w:hAnsi="宋体" w:cs="宋体"/>
          <w:color w:val="auto"/>
          <w:szCs w:val="21"/>
        </w:rPr>
        <w:t xml:space="preserve"> 一般资格证明材料</w:t>
      </w:r>
    </w:p>
    <w:p w14:paraId="7186C6CE">
      <w:pPr>
        <w:widowControl/>
        <w:adjustRightInd w:val="0"/>
        <w:snapToGrid w:val="0"/>
        <w:spacing w:line="360" w:lineRule="exact"/>
        <w:ind w:firstLine="420" w:firstLineChars="200"/>
        <w:jc w:val="left"/>
        <w:rPr>
          <w:rFonts w:ascii="宋体" w:hAnsi="宋体" w:cs="宋体"/>
          <w:bCs/>
          <w:color w:val="auto"/>
          <w:kern w:val="0"/>
          <w:szCs w:val="21"/>
        </w:rPr>
      </w:pPr>
      <w:r>
        <w:rPr>
          <w:rFonts w:hint="eastAsia" w:ascii="宋体" w:hAnsi="宋体" w:cs="宋体"/>
          <w:bCs/>
          <w:color w:val="auto"/>
          <w:kern w:val="0"/>
          <w:szCs w:val="21"/>
        </w:rPr>
        <w:t>★（1）供应商资格声明函（附件1）</w:t>
      </w:r>
    </w:p>
    <w:p w14:paraId="637E7962">
      <w:pPr>
        <w:widowControl/>
        <w:adjustRightInd w:val="0"/>
        <w:snapToGrid w:val="0"/>
        <w:spacing w:line="360" w:lineRule="exact"/>
        <w:ind w:firstLine="420" w:firstLineChars="200"/>
        <w:jc w:val="left"/>
        <w:rPr>
          <w:rFonts w:ascii="宋体" w:hAnsi="宋体" w:cs="宋体"/>
          <w:bCs/>
          <w:color w:val="auto"/>
          <w:kern w:val="0"/>
          <w:szCs w:val="21"/>
        </w:rPr>
      </w:pPr>
      <w:r>
        <w:rPr>
          <w:rFonts w:hint="eastAsia" w:ascii="宋体" w:hAnsi="宋体" w:cs="宋体"/>
          <w:bCs/>
          <w:color w:val="auto"/>
          <w:kern w:val="0"/>
          <w:szCs w:val="21"/>
        </w:rPr>
        <w:t>★（2）响应函（附件2）</w:t>
      </w:r>
    </w:p>
    <w:p w14:paraId="199BFE0C">
      <w:pPr>
        <w:widowControl/>
        <w:adjustRightInd w:val="0"/>
        <w:snapToGrid w:val="0"/>
        <w:spacing w:line="360" w:lineRule="exact"/>
        <w:ind w:firstLine="420" w:firstLineChars="200"/>
        <w:jc w:val="left"/>
        <w:rPr>
          <w:rFonts w:ascii="宋体" w:hAnsi="宋体" w:cs="宋体"/>
          <w:bCs/>
          <w:color w:val="auto"/>
          <w:kern w:val="0"/>
          <w:szCs w:val="21"/>
        </w:rPr>
      </w:pPr>
      <w:r>
        <w:rPr>
          <w:rFonts w:hint="eastAsia" w:ascii="宋体" w:hAnsi="宋体" w:cs="宋体"/>
          <w:bCs/>
          <w:color w:val="auto"/>
          <w:kern w:val="0"/>
          <w:szCs w:val="21"/>
        </w:rPr>
        <w:t>★（3）营业执照副本</w:t>
      </w:r>
    </w:p>
    <w:p w14:paraId="30E3E933">
      <w:pPr>
        <w:widowControl/>
        <w:adjustRightInd w:val="0"/>
        <w:snapToGrid w:val="0"/>
        <w:spacing w:line="360" w:lineRule="exact"/>
        <w:ind w:firstLine="420" w:firstLineChars="200"/>
        <w:jc w:val="left"/>
        <w:rPr>
          <w:rFonts w:ascii="宋体" w:hAnsi="宋体" w:cs="宋体"/>
          <w:bCs/>
          <w:color w:val="auto"/>
          <w:kern w:val="0"/>
          <w:szCs w:val="21"/>
        </w:rPr>
      </w:pPr>
      <w:r>
        <w:rPr>
          <w:rFonts w:hint="eastAsia" w:ascii="宋体" w:hAnsi="宋体" w:cs="宋体"/>
          <w:bCs/>
          <w:color w:val="auto"/>
          <w:kern w:val="0"/>
          <w:szCs w:val="21"/>
        </w:rPr>
        <w:t>★（4）</w:t>
      </w:r>
      <w:r>
        <w:rPr>
          <w:rFonts w:hint="eastAsia" w:ascii="宋体" w:hAnsi="宋体" w:cs="宋体"/>
          <w:color w:val="auto"/>
          <w:szCs w:val="21"/>
        </w:rPr>
        <w:t>法定代表人资格证明书、法定代表人身份证复印件（双面）（附件3）</w:t>
      </w:r>
    </w:p>
    <w:p w14:paraId="1B69C9F0">
      <w:pPr>
        <w:widowControl/>
        <w:adjustRightInd w:val="0"/>
        <w:snapToGrid w:val="0"/>
        <w:spacing w:line="360" w:lineRule="exact"/>
        <w:ind w:firstLine="420" w:firstLineChars="200"/>
        <w:jc w:val="left"/>
        <w:rPr>
          <w:rFonts w:ascii="宋体" w:hAnsi="宋体" w:cs="宋体"/>
          <w:bCs/>
          <w:color w:val="auto"/>
          <w:kern w:val="0"/>
          <w:szCs w:val="21"/>
        </w:rPr>
      </w:pPr>
      <w:r>
        <w:rPr>
          <w:rFonts w:hint="eastAsia" w:ascii="宋体" w:hAnsi="宋体" w:cs="宋体"/>
          <w:bCs/>
          <w:color w:val="auto"/>
          <w:kern w:val="0"/>
          <w:szCs w:val="21"/>
        </w:rPr>
        <w:t>★（5）授权委托书、代理人身份证复印件（双面）（如果有授权委托情况的，必须提供）（附件4）</w:t>
      </w:r>
    </w:p>
    <w:p w14:paraId="5DB90143">
      <w:pPr>
        <w:keepNext w:val="0"/>
        <w:keepLines w:val="0"/>
        <w:pageBreakBefore w:val="0"/>
        <w:widowControl w:val="0"/>
        <w:kinsoku/>
        <w:wordWrap/>
        <w:topLinePunct w:val="0"/>
        <w:autoSpaceDE/>
        <w:autoSpaceDN/>
        <w:bidi w:val="0"/>
        <w:spacing w:line="360" w:lineRule="exact"/>
        <w:ind w:firstLine="420" w:firstLineChars="200"/>
        <w:textAlignment w:val="auto"/>
        <w:rPr>
          <w:rFonts w:hint="default" w:ascii="宋体" w:hAnsi="宋体" w:cs="宋体"/>
          <w:b/>
          <w:color w:val="auto"/>
          <w:sz w:val="21"/>
          <w:szCs w:val="21"/>
          <w:lang w:val="en-US" w:eastAsia="zh-CN"/>
        </w:rPr>
      </w:pPr>
      <w:r>
        <w:rPr>
          <w:rFonts w:hint="eastAsia" w:ascii="宋体" w:hAnsi="宋体" w:cs="宋体"/>
          <w:bCs/>
          <w:color w:val="auto"/>
          <w:kern w:val="0"/>
          <w:szCs w:val="21"/>
        </w:rPr>
        <w:t>★（</w:t>
      </w:r>
      <w:r>
        <w:rPr>
          <w:rFonts w:hint="eastAsia" w:ascii="宋体" w:hAnsi="宋体" w:cs="宋体"/>
          <w:bCs/>
          <w:color w:val="auto"/>
          <w:kern w:val="0"/>
          <w:szCs w:val="21"/>
          <w:lang w:val="en-US" w:eastAsia="zh-CN"/>
        </w:rPr>
        <w:t>6</w:t>
      </w:r>
      <w:r>
        <w:rPr>
          <w:rFonts w:hint="eastAsia" w:ascii="宋体" w:hAnsi="宋体" w:cs="宋体"/>
          <w:bCs/>
          <w:color w:val="auto"/>
          <w:kern w:val="0"/>
          <w:szCs w:val="21"/>
        </w:rPr>
        <w:t>）</w:t>
      </w:r>
      <w:r>
        <w:rPr>
          <w:rFonts w:hint="eastAsia" w:ascii="宋体" w:hAnsi="宋体" w:cs="宋体"/>
          <w:b/>
          <w:color w:val="auto"/>
          <w:sz w:val="21"/>
          <w:szCs w:val="21"/>
          <w:lang w:val="en-US" w:eastAsia="zh-CN"/>
        </w:rPr>
        <w:t>供应商在江苏省社会消防技术服务信息系统中公示的具有消防设施维护保养检测服务类型</w:t>
      </w:r>
    </w:p>
    <w:p w14:paraId="36A39548">
      <w:pPr>
        <w:ind w:firstLine="422" w:firstLineChars="200"/>
        <w:outlineLvl w:val="1"/>
        <w:rPr>
          <w:rFonts w:ascii="宋体" w:hAnsi="宋体" w:cs="宋体"/>
          <w:b/>
          <w:color w:val="auto"/>
          <w:kern w:val="0"/>
          <w:sz w:val="21"/>
          <w:szCs w:val="21"/>
        </w:rPr>
      </w:pPr>
      <w:r>
        <w:rPr>
          <w:rFonts w:hint="eastAsia" w:ascii="宋体" w:hAnsi="宋体" w:cs="宋体"/>
          <w:b/>
          <w:color w:val="auto"/>
          <w:kern w:val="0"/>
          <w:sz w:val="21"/>
          <w:szCs w:val="21"/>
        </w:rPr>
        <w:t>（二）符合性证明材料</w:t>
      </w:r>
    </w:p>
    <w:p w14:paraId="4CE25244">
      <w:pPr>
        <w:widowControl/>
        <w:snapToGrid w:val="0"/>
        <w:spacing w:line="360" w:lineRule="exact"/>
        <w:ind w:firstLine="420" w:firstLineChars="200"/>
        <w:jc w:val="left"/>
        <w:rPr>
          <w:rFonts w:ascii="宋体" w:cs="宋体"/>
          <w:bCs/>
          <w:color w:val="auto"/>
          <w:kern w:val="0"/>
          <w:sz w:val="21"/>
          <w:szCs w:val="21"/>
        </w:rPr>
      </w:pPr>
      <w:r>
        <w:rPr>
          <w:rFonts w:hint="eastAsia" w:ascii="宋体" w:cs="宋体"/>
          <w:bCs/>
          <w:color w:val="auto"/>
          <w:kern w:val="0"/>
          <w:sz w:val="21"/>
          <w:szCs w:val="21"/>
        </w:rPr>
        <w:t>★1</w:t>
      </w:r>
      <w:r>
        <w:rPr>
          <w:rFonts w:ascii="宋体" w:cs="宋体"/>
          <w:bCs/>
          <w:color w:val="auto"/>
          <w:kern w:val="0"/>
          <w:sz w:val="21"/>
          <w:szCs w:val="21"/>
        </w:rPr>
        <w:t>.</w:t>
      </w:r>
      <w:r>
        <w:rPr>
          <w:rFonts w:hint="eastAsia" w:ascii="宋体" w:cs="宋体"/>
          <w:bCs/>
          <w:color w:val="auto"/>
          <w:kern w:val="0"/>
          <w:sz w:val="21"/>
          <w:szCs w:val="21"/>
        </w:rPr>
        <w:t>报价一览表（附件5）</w:t>
      </w:r>
    </w:p>
    <w:p w14:paraId="300DF307">
      <w:pPr>
        <w:widowControl/>
        <w:snapToGrid w:val="0"/>
        <w:spacing w:line="360" w:lineRule="exact"/>
        <w:ind w:firstLine="420" w:firstLineChars="200"/>
        <w:jc w:val="left"/>
        <w:rPr>
          <w:rFonts w:ascii="宋体" w:cs="宋体"/>
          <w:bCs/>
          <w:color w:val="auto"/>
          <w:kern w:val="0"/>
          <w:sz w:val="21"/>
          <w:szCs w:val="21"/>
        </w:rPr>
      </w:pPr>
      <w:r>
        <w:rPr>
          <w:rFonts w:hint="eastAsia" w:ascii="宋体" w:cs="宋体"/>
          <w:bCs/>
          <w:color w:val="auto"/>
          <w:kern w:val="0"/>
          <w:sz w:val="21"/>
          <w:szCs w:val="21"/>
        </w:rPr>
        <w:t>★2</w:t>
      </w:r>
      <w:r>
        <w:rPr>
          <w:rFonts w:ascii="宋体" w:cs="宋体"/>
          <w:bCs/>
          <w:color w:val="auto"/>
          <w:kern w:val="0"/>
          <w:sz w:val="21"/>
          <w:szCs w:val="21"/>
        </w:rPr>
        <w:t>.</w:t>
      </w:r>
      <w:r>
        <w:rPr>
          <w:rFonts w:hint="eastAsia" w:ascii="宋体" w:cs="宋体"/>
          <w:bCs/>
          <w:color w:val="auto"/>
          <w:kern w:val="0"/>
          <w:sz w:val="21"/>
          <w:szCs w:val="21"/>
        </w:rPr>
        <w:t>报价明细表（附件6）</w:t>
      </w:r>
    </w:p>
    <w:p w14:paraId="71574F8A">
      <w:pPr>
        <w:widowControl/>
        <w:snapToGrid w:val="0"/>
        <w:spacing w:line="360" w:lineRule="exact"/>
        <w:ind w:firstLine="420" w:firstLineChars="200"/>
        <w:jc w:val="left"/>
        <w:rPr>
          <w:rFonts w:ascii="宋体" w:cs="宋体"/>
          <w:bCs/>
          <w:color w:val="auto"/>
          <w:kern w:val="0"/>
          <w:sz w:val="21"/>
          <w:szCs w:val="21"/>
        </w:rPr>
      </w:pPr>
      <w:r>
        <w:rPr>
          <w:rFonts w:ascii="宋体" w:cs="宋体"/>
          <w:bCs/>
          <w:color w:val="auto"/>
          <w:kern w:val="0"/>
          <w:sz w:val="21"/>
          <w:szCs w:val="21"/>
        </w:rPr>
        <w:t>3.</w:t>
      </w:r>
      <w:r>
        <w:rPr>
          <w:rFonts w:hint="eastAsia" w:ascii="宋体" w:cs="宋体"/>
          <w:bCs/>
          <w:color w:val="auto"/>
          <w:kern w:val="0"/>
          <w:sz w:val="21"/>
          <w:szCs w:val="21"/>
        </w:rPr>
        <w:t>服务承诺书（附件7）</w:t>
      </w:r>
    </w:p>
    <w:p w14:paraId="1A88F1AA">
      <w:pPr>
        <w:widowControl/>
        <w:snapToGrid w:val="0"/>
        <w:spacing w:line="360" w:lineRule="exact"/>
        <w:ind w:firstLine="420" w:firstLineChars="200"/>
        <w:jc w:val="left"/>
        <w:rPr>
          <w:rFonts w:ascii="宋体" w:cs="宋体"/>
          <w:bCs/>
          <w:color w:val="auto"/>
          <w:kern w:val="0"/>
          <w:sz w:val="21"/>
          <w:szCs w:val="21"/>
        </w:rPr>
      </w:pPr>
      <w:r>
        <w:rPr>
          <w:rFonts w:ascii="宋体" w:cs="宋体"/>
          <w:bCs/>
          <w:color w:val="auto"/>
          <w:kern w:val="0"/>
          <w:sz w:val="21"/>
          <w:szCs w:val="21"/>
        </w:rPr>
        <w:t>4.</w:t>
      </w:r>
      <w:r>
        <w:rPr>
          <w:rFonts w:hint="eastAsia" w:ascii="宋体" w:cs="宋体"/>
          <w:bCs/>
          <w:color w:val="auto"/>
          <w:kern w:val="0"/>
          <w:sz w:val="21"/>
          <w:szCs w:val="21"/>
        </w:rPr>
        <w:t>偏离表（附件8）</w:t>
      </w:r>
    </w:p>
    <w:p w14:paraId="2AC50DCF">
      <w:pPr>
        <w:widowControl/>
        <w:snapToGrid w:val="0"/>
        <w:spacing w:line="360" w:lineRule="exact"/>
        <w:ind w:firstLine="420" w:firstLineChars="200"/>
        <w:jc w:val="left"/>
        <w:rPr>
          <w:rFonts w:ascii="宋体" w:cs="宋体"/>
          <w:bCs/>
          <w:color w:val="auto"/>
          <w:kern w:val="0"/>
          <w:sz w:val="21"/>
          <w:szCs w:val="21"/>
        </w:rPr>
      </w:pPr>
      <w:r>
        <w:rPr>
          <w:rFonts w:ascii="宋体" w:cs="宋体"/>
          <w:bCs/>
          <w:color w:val="auto"/>
          <w:kern w:val="0"/>
          <w:sz w:val="21"/>
          <w:szCs w:val="21"/>
        </w:rPr>
        <w:t>5.</w:t>
      </w:r>
      <w:r>
        <w:rPr>
          <w:rFonts w:hint="eastAsia" w:ascii="宋体" w:cs="宋体"/>
          <w:bCs/>
          <w:color w:val="auto"/>
          <w:kern w:val="0"/>
          <w:sz w:val="21"/>
          <w:szCs w:val="21"/>
        </w:rPr>
        <w:t>其他资料</w:t>
      </w:r>
    </w:p>
    <w:p w14:paraId="2173BADD">
      <w:pPr>
        <w:ind w:firstLine="422" w:firstLineChars="200"/>
        <w:outlineLvl w:val="1"/>
        <w:rPr>
          <w:rFonts w:ascii="宋体" w:hAnsi="宋体" w:cs="宋体"/>
          <w:b/>
          <w:color w:val="auto"/>
          <w:kern w:val="0"/>
          <w:sz w:val="21"/>
          <w:szCs w:val="21"/>
        </w:rPr>
      </w:pPr>
      <w:r>
        <w:rPr>
          <w:rFonts w:hint="eastAsia" w:ascii="宋体" w:hAnsi="宋体" w:cs="宋体"/>
          <w:b/>
          <w:color w:val="auto"/>
          <w:kern w:val="0"/>
          <w:sz w:val="21"/>
          <w:szCs w:val="21"/>
        </w:rPr>
        <w:t>（三）说明</w:t>
      </w:r>
    </w:p>
    <w:p w14:paraId="279ECF14">
      <w:pPr>
        <w:widowControl/>
        <w:snapToGrid w:val="0"/>
        <w:spacing w:line="360" w:lineRule="exact"/>
        <w:ind w:firstLine="420" w:firstLineChars="200"/>
        <w:jc w:val="left"/>
        <w:rPr>
          <w:rFonts w:ascii="宋体" w:cs="宋体"/>
          <w:bCs/>
          <w:color w:val="auto"/>
          <w:kern w:val="0"/>
          <w:sz w:val="21"/>
          <w:szCs w:val="21"/>
        </w:rPr>
      </w:pPr>
      <w:r>
        <w:rPr>
          <w:rFonts w:hint="eastAsia" w:ascii="宋体" w:cs="宋体"/>
          <w:bCs/>
          <w:color w:val="auto"/>
          <w:kern w:val="0"/>
          <w:sz w:val="21"/>
          <w:szCs w:val="21"/>
        </w:rPr>
        <w:t>1.本询价通知书中所有带“★”内容均必须提供并加盖供应商公章，否则将作为无效响应文件处理。</w:t>
      </w:r>
    </w:p>
    <w:p w14:paraId="245A1BFF">
      <w:pPr>
        <w:widowControl/>
        <w:snapToGrid w:val="0"/>
        <w:spacing w:line="360" w:lineRule="exact"/>
        <w:ind w:firstLine="420" w:firstLineChars="200"/>
        <w:jc w:val="left"/>
        <w:rPr>
          <w:rFonts w:ascii="宋体" w:cs="宋体"/>
          <w:bCs/>
          <w:color w:val="auto"/>
          <w:kern w:val="0"/>
          <w:sz w:val="21"/>
          <w:szCs w:val="21"/>
        </w:rPr>
      </w:pPr>
      <w:r>
        <w:rPr>
          <w:rFonts w:hint="eastAsia" w:ascii="宋体" w:cs="宋体"/>
          <w:bCs/>
          <w:color w:val="auto"/>
          <w:kern w:val="0"/>
          <w:sz w:val="21"/>
          <w:szCs w:val="21"/>
        </w:rPr>
        <w:t>2.供应商应保证所提供的上述资料的真实性和合法性。</w:t>
      </w:r>
    </w:p>
    <w:p w14:paraId="1FBDD33B">
      <w:pPr>
        <w:widowControl/>
        <w:snapToGrid w:val="0"/>
        <w:spacing w:line="360" w:lineRule="exact"/>
        <w:ind w:firstLine="420" w:firstLineChars="200"/>
        <w:jc w:val="left"/>
        <w:rPr>
          <w:rFonts w:ascii="宋体" w:cs="宋体"/>
          <w:color w:val="auto"/>
          <w:kern w:val="0"/>
          <w:sz w:val="21"/>
          <w:szCs w:val="21"/>
        </w:rPr>
      </w:pPr>
      <w:r>
        <w:rPr>
          <w:rFonts w:hint="eastAsia" w:ascii="宋体" w:cs="宋体"/>
          <w:bCs/>
          <w:color w:val="auto"/>
          <w:kern w:val="0"/>
          <w:sz w:val="21"/>
          <w:szCs w:val="21"/>
        </w:rPr>
        <w:t>3.询价响应文件</w:t>
      </w:r>
      <w:r>
        <w:rPr>
          <w:rFonts w:hint="eastAsia" w:ascii="宋体" w:cs="宋体"/>
          <w:color w:val="auto"/>
          <w:kern w:val="0"/>
          <w:sz w:val="21"/>
          <w:szCs w:val="21"/>
        </w:rPr>
        <w:t>中复印件需加盖供应商公章。</w:t>
      </w:r>
    </w:p>
    <w:p w14:paraId="6EF8C989">
      <w:pPr>
        <w:spacing w:line="360" w:lineRule="exact"/>
        <w:ind w:firstLine="420" w:firstLineChars="200"/>
        <w:rPr>
          <w:rFonts w:ascii="宋体" w:hAnsi="宋体" w:cs="宋体"/>
          <w:color w:val="auto"/>
          <w:sz w:val="21"/>
          <w:szCs w:val="21"/>
        </w:rPr>
      </w:pPr>
      <w:r>
        <w:rPr>
          <w:rFonts w:ascii="宋体" w:cs="宋体"/>
          <w:color w:val="auto"/>
          <w:kern w:val="0"/>
          <w:sz w:val="21"/>
          <w:szCs w:val="21"/>
        </w:rPr>
        <w:t>4.</w:t>
      </w:r>
      <w:r>
        <w:rPr>
          <w:rFonts w:hint="eastAsia" w:ascii="宋体" w:cs="宋体"/>
          <w:color w:val="auto"/>
          <w:kern w:val="0"/>
          <w:sz w:val="21"/>
          <w:szCs w:val="21"/>
        </w:rPr>
        <w:t>询价</w:t>
      </w:r>
      <w:r>
        <w:rPr>
          <w:rFonts w:ascii="宋体" w:cs="宋体"/>
          <w:color w:val="auto"/>
          <w:kern w:val="0"/>
          <w:sz w:val="21"/>
          <w:szCs w:val="21"/>
        </w:rPr>
        <w:t>响应文件</w:t>
      </w:r>
      <w:r>
        <w:rPr>
          <w:rFonts w:hint="eastAsia" w:ascii="宋体" w:cs="宋体"/>
          <w:color w:val="auto"/>
          <w:kern w:val="0"/>
          <w:sz w:val="21"/>
          <w:szCs w:val="21"/>
        </w:rPr>
        <w:t>提供装订的</w:t>
      </w:r>
      <w:r>
        <w:rPr>
          <w:rFonts w:hint="eastAsia" w:ascii="宋体" w:cs="宋体"/>
          <w:b/>
          <w:color w:val="auto"/>
          <w:kern w:val="0"/>
          <w:sz w:val="21"/>
          <w:szCs w:val="21"/>
        </w:rPr>
        <w:t>壹份“正本”、贰份“副本”、壹份“电子文档”（载体采用“电子光盘”或“U盘”，内容包含全套响应文件）。</w:t>
      </w:r>
      <w:r>
        <w:rPr>
          <w:rFonts w:hint="eastAsia" w:ascii="宋体" w:hAnsi="宋体" w:cs="宋体"/>
          <w:b/>
          <w:color w:val="auto"/>
          <w:sz w:val="21"/>
          <w:szCs w:val="21"/>
        </w:rPr>
        <w:t>正本、副本、电子文档均应当密封，</w:t>
      </w:r>
      <w:r>
        <w:rPr>
          <w:rFonts w:hint="eastAsia" w:ascii="宋体" w:hAnsi="宋体" w:cs="宋体"/>
          <w:color w:val="auto"/>
          <w:sz w:val="21"/>
          <w:szCs w:val="21"/>
        </w:rPr>
        <w:t>所有</w:t>
      </w:r>
      <w:r>
        <w:rPr>
          <w:rFonts w:ascii="宋体" w:hAnsi="宋体" w:cs="宋体"/>
          <w:color w:val="auto"/>
          <w:sz w:val="21"/>
          <w:szCs w:val="21"/>
        </w:rPr>
        <w:t>封袋上都应当</w:t>
      </w:r>
      <w:r>
        <w:rPr>
          <w:rFonts w:hint="eastAsia" w:ascii="宋体" w:hAnsi="宋体" w:cs="宋体"/>
          <w:color w:val="auto"/>
          <w:sz w:val="21"/>
          <w:szCs w:val="21"/>
        </w:rPr>
        <w:t>加盖供应商公章。纸质版投标文件正本和副本如有不一致之处，以纸质版正本为准。</w:t>
      </w:r>
    </w:p>
    <w:p w14:paraId="601977FA">
      <w:pPr>
        <w:ind w:firstLine="422" w:firstLineChars="200"/>
        <w:outlineLvl w:val="1"/>
        <w:rPr>
          <w:rFonts w:ascii="宋体" w:cs="Arial"/>
          <w:b/>
          <w:color w:val="auto"/>
          <w:sz w:val="21"/>
          <w:szCs w:val="21"/>
          <w:highlight w:val="none"/>
        </w:rPr>
      </w:pPr>
      <w:r>
        <w:rPr>
          <w:rFonts w:hint="eastAsia" w:ascii="宋体" w:hAnsi="宋体" w:cs="宋体"/>
          <w:b/>
          <w:color w:val="auto"/>
          <w:kern w:val="0"/>
          <w:sz w:val="21"/>
          <w:szCs w:val="21"/>
          <w:lang w:val="en-US" w:eastAsia="zh-CN"/>
        </w:rPr>
        <w:t>五</w:t>
      </w:r>
      <w:r>
        <w:rPr>
          <w:rFonts w:hint="eastAsia" w:ascii="宋体" w:hAnsi="宋体" w:cs="宋体"/>
          <w:b/>
          <w:color w:val="auto"/>
          <w:kern w:val="0"/>
          <w:sz w:val="21"/>
          <w:szCs w:val="21"/>
          <w:highlight w:val="none"/>
        </w:rPr>
        <w:t>、报价要求</w:t>
      </w:r>
    </w:p>
    <w:p w14:paraId="5E0068D6">
      <w:pPr>
        <w:widowControl/>
        <w:snapToGrid w:val="0"/>
        <w:spacing w:line="360" w:lineRule="exact"/>
        <w:ind w:firstLine="420" w:firstLineChars="200"/>
        <w:jc w:val="left"/>
        <w:rPr>
          <w:rFonts w:ascii="宋体" w:hAnsi="宋体" w:cs="宋体"/>
          <w:color w:val="auto"/>
          <w:sz w:val="21"/>
          <w:szCs w:val="21"/>
          <w:highlight w:val="none"/>
        </w:rPr>
      </w:pPr>
      <w:r>
        <w:rPr>
          <w:rFonts w:hint="eastAsia" w:ascii="宋体" w:cs="Arial"/>
          <w:color w:val="auto"/>
          <w:sz w:val="21"/>
          <w:szCs w:val="21"/>
          <w:highlight w:val="none"/>
          <w:lang w:val="en-US" w:eastAsia="zh-CN"/>
        </w:rPr>
        <w:t>1.</w:t>
      </w:r>
      <w:r>
        <w:rPr>
          <w:rFonts w:hint="eastAsia" w:ascii="宋体" w:cs="Arial"/>
          <w:color w:val="auto"/>
          <w:sz w:val="21"/>
          <w:szCs w:val="21"/>
          <w:highlight w:val="none"/>
        </w:rPr>
        <w:t>本项目报价为</w:t>
      </w:r>
      <w:r>
        <w:rPr>
          <w:rFonts w:hint="eastAsia" w:ascii="宋体" w:cs="Arial"/>
          <w:b/>
          <w:color w:val="auto"/>
          <w:sz w:val="21"/>
          <w:szCs w:val="21"/>
          <w:highlight w:val="none"/>
          <w:u w:val="single"/>
        </w:rPr>
        <w:t>固定</w:t>
      </w:r>
      <w:r>
        <w:rPr>
          <w:rFonts w:hint="eastAsia" w:ascii="宋体" w:cs="Arial"/>
          <w:b/>
          <w:color w:val="auto"/>
          <w:sz w:val="21"/>
          <w:szCs w:val="21"/>
          <w:highlight w:val="none"/>
          <w:u w:val="single"/>
          <w:lang w:val="en-US" w:eastAsia="zh-CN"/>
        </w:rPr>
        <w:t>总</w:t>
      </w:r>
      <w:r>
        <w:rPr>
          <w:rFonts w:hint="eastAsia" w:ascii="宋体" w:cs="Arial"/>
          <w:b/>
          <w:color w:val="auto"/>
          <w:sz w:val="21"/>
          <w:szCs w:val="21"/>
          <w:highlight w:val="none"/>
          <w:u w:val="single"/>
        </w:rPr>
        <w:t>价</w:t>
      </w:r>
      <w:r>
        <w:rPr>
          <w:rFonts w:hint="eastAsia" w:ascii="宋体" w:cs="Arial"/>
          <w:b/>
          <w:color w:val="auto"/>
          <w:sz w:val="21"/>
          <w:szCs w:val="21"/>
          <w:highlight w:val="none"/>
        </w:rPr>
        <w:t>，</w:t>
      </w:r>
      <w:r>
        <w:rPr>
          <w:rFonts w:hint="eastAsia" w:ascii="宋体" w:hAnsi="宋体" w:cs="宋体"/>
          <w:color w:val="auto"/>
          <w:szCs w:val="21"/>
          <w:highlight w:val="none"/>
        </w:rPr>
        <w:t>报价总价应包括询价通知书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14:paraId="36B652EF">
      <w:pPr>
        <w:ind w:firstLine="420" w:firstLineChars="200"/>
        <w:outlineLvl w:val="1"/>
        <w:rPr>
          <w:rFonts w:hint="eastAsia" w:ascii="宋体" w:hAnsi="宋体" w:cs="宋体"/>
          <w:b/>
          <w:color w:val="auto"/>
          <w:kern w:val="0"/>
          <w:sz w:val="21"/>
          <w:szCs w:val="21"/>
          <w:highlight w:val="none"/>
        </w:rPr>
      </w:pPr>
      <w:r>
        <w:rPr>
          <w:rFonts w:hint="eastAsia" w:ascii="宋体" w:hAnsi="宋体" w:cs="宋体"/>
          <w:color w:val="auto"/>
          <w:szCs w:val="21"/>
          <w:highlight w:val="none"/>
        </w:rPr>
        <w:t>2.</w:t>
      </w:r>
      <w:r>
        <w:rPr>
          <w:rFonts w:hint="eastAsia" w:ascii="宋体" w:hAnsi="宋体" w:cs="宋体"/>
          <w:b/>
          <w:color w:val="auto"/>
          <w:szCs w:val="21"/>
          <w:highlight w:val="none"/>
        </w:rPr>
        <w:t>本项目的最高限价为</w:t>
      </w:r>
      <w:r>
        <w:rPr>
          <w:rFonts w:hint="eastAsia" w:ascii="宋体" w:hAnsi="宋体" w:cs="宋体"/>
          <w:b/>
          <w:bCs/>
          <w:color w:val="auto"/>
          <w:szCs w:val="21"/>
        </w:rPr>
        <w:t>人民币</w:t>
      </w:r>
      <w:r>
        <w:rPr>
          <w:rFonts w:hint="eastAsia" w:ascii="宋体" w:hAnsi="宋体" w:cs="宋体"/>
          <w:b/>
          <w:bCs/>
          <w:color w:val="auto"/>
          <w:szCs w:val="21"/>
          <w:lang w:val="en-US" w:eastAsia="zh-CN"/>
        </w:rPr>
        <w:t>4.5</w:t>
      </w:r>
      <w:r>
        <w:rPr>
          <w:rFonts w:hint="eastAsia" w:ascii="宋体" w:hAnsi="宋体" w:cs="宋体"/>
          <w:b/>
          <w:bCs/>
          <w:color w:val="auto"/>
          <w:szCs w:val="21"/>
        </w:rPr>
        <w:t>万元</w:t>
      </w:r>
      <w:r>
        <w:rPr>
          <w:rFonts w:hint="eastAsia" w:ascii="宋体" w:hAnsi="宋体" w:cs="宋体"/>
          <w:b/>
          <w:color w:val="auto"/>
          <w:szCs w:val="21"/>
          <w:highlight w:val="none"/>
        </w:rPr>
        <w:t>，报价高于最高限价的作为无效响应处理。</w:t>
      </w:r>
    </w:p>
    <w:p w14:paraId="16A16A38">
      <w:pPr>
        <w:ind w:firstLine="422" w:firstLineChars="200"/>
        <w:outlineLvl w:val="1"/>
        <w:rPr>
          <w:rFonts w:ascii="宋体" w:hAnsi="宋体" w:cs="宋体"/>
          <w:b/>
          <w:color w:val="auto"/>
          <w:kern w:val="0"/>
          <w:sz w:val="21"/>
          <w:szCs w:val="21"/>
          <w:highlight w:val="none"/>
        </w:rPr>
      </w:pPr>
      <w:r>
        <w:rPr>
          <w:rFonts w:hint="eastAsia" w:ascii="宋体" w:hAnsi="宋体" w:cs="宋体"/>
          <w:b/>
          <w:color w:val="auto"/>
          <w:kern w:val="0"/>
          <w:sz w:val="21"/>
          <w:szCs w:val="21"/>
          <w:highlight w:val="none"/>
          <w:lang w:val="en-US" w:eastAsia="zh-CN"/>
        </w:rPr>
        <w:t>六</w:t>
      </w:r>
      <w:r>
        <w:rPr>
          <w:rFonts w:hint="eastAsia" w:ascii="宋体" w:hAnsi="宋体" w:cs="宋体"/>
          <w:b/>
          <w:color w:val="auto"/>
          <w:kern w:val="0"/>
          <w:sz w:val="21"/>
          <w:szCs w:val="21"/>
          <w:highlight w:val="none"/>
        </w:rPr>
        <w:t>、评审、定标方法</w:t>
      </w:r>
    </w:p>
    <w:p w14:paraId="7BFF305F">
      <w:pPr>
        <w:widowControl/>
        <w:adjustRightInd w:val="0"/>
        <w:snapToGrid w:val="0"/>
        <w:spacing w:line="360" w:lineRule="exact"/>
        <w:ind w:firstLine="420" w:firstLineChars="200"/>
        <w:jc w:val="left"/>
        <w:rPr>
          <w:rFonts w:ascii="宋体" w:hAnsi="宋体" w:cs="宋体"/>
          <w:color w:val="auto"/>
          <w:kern w:val="0"/>
          <w:szCs w:val="21"/>
        </w:rPr>
      </w:pPr>
      <w:r>
        <w:rPr>
          <w:rFonts w:hint="eastAsia" w:ascii="宋体" w:hAnsi="宋体" w:cs="宋体"/>
          <w:color w:val="auto"/>
          <w:kern w:val="0"/>
          <w:szCs w:val="21"/>
          <w:highlight w:val="none"/>
        </w:rPr>
        <w:t>1.报价在采购预算价格以下的，为有效报价。</w:t>
      </w:r>
      <w:r>
        <w:rPr>
          <w:rFonts w:hint="eastAsia" w:ascii="宋体" w:hAnsi="宋体" w:cs="宋体"/>
          <w:color w:val="auto"/>
          <w:kern w:val="0"/>
          <w:szCs w:val="21"/>
        </w:rPr>
        <w:t>超出此范围的报价为无效报价。无效报价的响应文件不进行评审，也不得成交。本项目采用最低评标价法，即在满足询价通知书实质性要求，并符合采购需求、质量和服务相等的前提下，以提出最低报价的供应商作为成交供应商。</w:t>
      </w:r>
    </w:p>
    <w:p w14:paraId="4B770E69">
      <w:pPr>
        <w:spacing w:line="360" w:lineRule="exact"/>
        <w:ind w:firstLine="420" w:firstLineChars="200"/>
        <w:rPr>
          <w:rFonts w:ascii="宋体" w:hAnsi="宋体" w:cs="宋体"/>
          <w:color w:val="auto"/>
          <w:sz w:val="21"/>
          <w:szCs w:val="21"/>
        </w:rPr>
      </w:pPr>
      <w:r>
        <w:rPr>
          <w:rFonts w:hint="eastAsia" w:ascii="宋体" w:hAnsi="宋体" w:cs="宋体"/>
          <w:color w:val="auto"/>
          <w:kern w:val="0"/>
          <w:szCs w:val="21"/>
        </w:rPr>
        <w:t>2.</w:t>
      </w:r>
      <w:r>
        <w:rPr>
          <w:rFonts w:hint="eastAsia" w:ascii="宋体" w:hAnsi="宋体" w:cs="宋体"/>
          <w:color w:val="auto"/>
          <w:szCs w:val="21"/>
        </w:rPr>
        <w:t>采购人授权询价小组直接确定成交供应商。</w:t>
      </w:r>
    </w:p>
    <w:p w14:paraId="67EE2142">
      <w:pPr>
        <w:ind w:firstLine="422" w:firstLineChars="200"/>
        <w:outlineLvl w:val="1"/>
        <w:rPr>
          <w:rFonts w:ascii="宋体" w:hAnsi="宋体" w:cs="宋体"/>
          <w:b/>
          <w:color w:val="auto"/>
          <w:kern w:val="0"/>
          <w:sz w:val="21"/>
          <w:szCs w:val="21"/>
        </w:rPr>
      </w:pPr>
      <w:r>
        <w:rPr>
          <w:rFonts w:hint="eastAsia" w:ascii="宋体" w:hAnsi="宋体" w:cs="宋体"/>
          <w:b/>
          <w:color w:val="auto"/>
          <w:kern w:val="0"/>
          <w:sz w:val="21"/>
          <w:szCs w:val="21"/>
          <w:lang w:val="en-US" w:eastAsia="zh-CN"/>
        </w:rPr>
        <w:t>七</w:t>
      </w:r>
      <w:r>
        <w:rPr>
          <w:rFonts w:ascii="宋体" w:hAnsi="宋体" w:cs="宋体"/>
          <w:b/>
          <w:color w:val="auto"/>
          <w:kern w:val="0"/>
          <w:sz w:val="21"/>
          <w:szCs w:val="21"/>
        </w:rPr>
        <w:t>、</w:t>
      </w:r>
      <w:r>
        <w:rPr>
          <w:rFonts w:hint="eastAsia" w:ascii="宋体" w:hAnsi="宋体" w:cs="宋体"/>
          <w:b/>
          <w:color w:val="auto"/>
          <w:kern w:val="0"/>
          <w:sz w:val="21"/>
          <w:szCs w:val="21"/>
        </w:rPr>
        <w:t>成交结果及公示</w:t>
      </w:r>
    </w:p>
    <w:p w14:paraId="1AAE1BA5">
      <w:pPr>
        <w:spacing w:line="360" w:lineRule="exact"/>
        <w:ind w:firstLine="420" w:firstLineChars="200"/>
        <w:rPr>
          <w:rFonts w:ascii="宋体" w:hAnsi="宋体" w:cs="宋体"/>
          <w:color w:val="auto"/>
          <w:sz w:val="21"/>
          <w:szCs w:val="21"/>
        </w:rPr>
      </w:pPr>
      <w:r>
        <w:rPr>
          <w:rFonts w:hint="eastAsia" w:ascii="宋体" w:hAnsi="宋体" w:cs="宋体"/>
          <w:color w:val="auto"/>
          <w:sz w:val="21"/>
          <w:szCs w:val="21"/>
        </w:rPr>
        <w:t>代理机构将成交结果在</w:t>
      </w:r>
      <w:r>
        <w:rPr>
          <w:rFonts w:hint="eastAsia" w:ascii="宋体" w:hAnsi="宋体"/>
          <w:color w:val="auto"/>
          <w:sz w:val="21"/>
          <w:szCs w:val="21"/>
        </w:rPr>
        <w:t>原公告媒体</w:t>
      </w:r>
      <w:r>
        <w:rPr>
          <w:rFonts w:hint="eastAsia" w:ascii="宋体" w:hAnsi="宋体" w:cs="宋体"/>
          <w:color w:val="auto"/>
          <w:sz w:val="21"/>
          <w:szCs w:val="21"/>
        </w:rPr>
        <w:t>上予以公告。公告期限为自公告发布之日起1个工作日。</w:t>
      </w:r>
    </w:p>
    <w:p w14:paraId="28BBF860">
      <w:pPr>
        <w:ind w:firstLine="422" w:firstLineChars="200"/>
        <w:outlineLvl w:val="1"/>
        <w:rPr>
          <w:rFonts w:ascii="宋体" w:hAnsi="宋体" w:cs="宋体"/>
          <w:b/>
          <w:color w:val="auto"/>
          <w:kern w:val="0"/>
          <w:sz w:val="21"/>
          <w:szCs w:val="21"/>
        </w:rPr>
      </w:pPr>
      <w:r>
        <w:rPr>
          <w:rFonts w:hint="eastAsia" w:ascii="宋体" w:hAnsi="宋体" w:cs="宋体"/>
          <w:b/>
          <w:color w:val="auto"/>
          <w:kern w:val="0"/>
          <w:sz w:val="21"/>
          <w:szCs w:val="21"/>
          <w:lang w:val="en-US" w:eastAsia="zh-CN"/>
        </w:rPr>
        <w:t>八</w:t>
      </w:r>
      <w:r>
        <w:rPr>
          <w:rFonts w:hint="eastAsia" w:ascii="宋体" w:hAnsi="宋体" w:cs="宋体"/>
          <w:b/>
          <w:color w:val="auto"/>
          <w:kern w:val="0"/>
          <w:sz w:val="21"/>
          <w:szCs w:val="21"/>
        </w:rPr>
        <w:t>、成交通知书</w:t>
      </w:r>
    </w:p>
    <w:p w14:paraId="6155E081">
      <w:pPr>
        <w:spacing w:line="360" w:lineRule="exact"/>
        <w:ind w:firstLine="420" w:firstLineChars="200"/>
        <w:rPr>
          <w:rFonts w:ascii="宋体" w:hAnsi="宋体" w:cs="宋体"/>
          <w:color w:val="auto"/>
          <w:sz w:val="21"/>
          <w:szCs w:val="21"/>
        </w:rPr>
      </w:pPr>
      <w:r>
        <w:rPr>
          <w:rFonts w:ascii="宋体" w:hAnsi="宋体" w:cs="宋体"/>
          <w:color w:val="auto"/>
          <w:sz w:val="21"/>
          <w:szCs w:val="21"/>
        </w:rPr>
        <w:t>1.</w:t>
      </w:r>
      <w:r>
        <w:rPr>
          <w:rFonts w:hint="eastAsia" w:ascii="宋体" w:hAnsi="宋体" w:cs="宋体"/>
          <w:color w:val="auto"/>
          <w:sz w:val="21"/>
          <w:szCs w:val="21"/>
        </w:rPr>
        <w:t>成交结果确定后，代理机构将向成交供应商发出成交通知书。</w:t>
      </w:r>
    </w:p>
    <w:p w14:paraId="6F18BCAA">
      <w:pPr>
        <w:spacing w:line="360" w:lineRule="exact"/>
        <w:ind w:firstLine="420" w:firstLineChars="200"/>
        <w:rPr>
          <w:rFonts w:ascii="宋体" w:hAnsi="宋体" w:cs="宋体"/>
          <w:color w:val="auto"/>
          <w:sz w:val="21"/>
          <w:szCs w:val="21"/>
        </w:rPr>
      </w:pPr>
      <w:r>
        <w:rPr>
          <w:rFonts w:ascii="宋体" w:hAnsi="宋体" w:cs="宋体"/>
          <w:color w:val="auto"/>
          <w:sz w:val="21"/>
          <w:szCs w:val="21"/>
        </w:rPr>
        <w:t>2.</w:t>
      </w:r>
      <w:r>
        <w:rPr>
          <w:rFonts w:hint="eastAsia" w:ascii="宋体" w:hAnsi="宋体" w:cs="宋体"/>
          <w:color w:val="auto"/>
          <w:sz w:val="21"/>
          <w:szCs w:val="21"/>
        </w:rPr>
        <w:t>成交通知对采购人和成交供应商具有法律约束力。成交通知书发出后，采购人改变成交结果或者成交单位供应商放弃成交资格，均应当承担相应的法律责任，且不影响成交服务费的支付。</w:t>
      </w:r>
    </w:p>
    <w:p w14:paraId="04F651DC">
      <w:pPr>
        <w:ind w:firstLine="422" w:firstLineChars="200"/>
        <w:outlineLvl w:val="1"/>
        <w:rPr>
          <w:rFonts w:ascii="宋体" w:hAnsi="宋体" w:cs="宋体"/>
          <w:b/>
          <w:color w:val="auto"/>
          <w:kern w:val="0"/>
          <w:sz w:val="21"/>
          <w:szCs w:val="21"/>
        </w:rPr>
      </w:pPr>
      <w:r>
        <w:rPr>
          <w:rFonts w:hint="eastAsia" w:ascii="宋体" w:hAnsi="宋体" w:cs="宋体"/>
          <w:b/>
          <w:color w:val="auto"/>
          <w:kern w:val="0"/>
          <w:sz w:val="21"/>
          <w:szCs w:val="21"/>
          <w:lang w:val="en-US" w:eastAsia="zh-CN"/>
        </w:rPr>
        <w:t>九</w:t>
      </w:r>
      <w:r>
        <w:rPr>
          <w:rFonts w:hint="eastAsia" w:ascii="宋体" w:hAnsi="宋体" w:cs="宋体"/>
          <w:b/>
          <w:color w:val="auto"/>
          <w:kern w:val="0"/>
          <w:sz w:val="21"/>
          <w:szCs w:val="21"/>
        </w:rPr>
        <w:t>、代理机构服务费</w:t>
      </w:r>
    </w:p>
    <w:p w14:paraId="5C50E37E">
      <w:pPr>
        <w:adjustRightInd w:val="0"/>
        <w:snapToGrid w:val="0"/>
        <w:spacing w:line="360" w:lineRule="exact"/>
        <w:ind w:firstLine="422" w:firstLineChars="200"/>
        <w:rPr>
          <w:rFonts w:ascii="宋体" w:hAnsi="宋体" w:cs="宋体"/>
          <w:b/>
          <w:color w:val="auto"/>
          <w:szCs w:val="21"/>
        </w:rPr>
      </w:pPr>
      <w:r>
        <w:rPr>
          <w:rFonts w:hint="eastAsia" w:ascii="宋体" w:hAnsi="宋体" w:cs="宋体"/>
          <w:b/>
          <w:color w:val="auto"/>
          <w:szCs w:val="21"/>
        </w:rPr>
        <w:t>服务费1000元由成交供应商承担，成交供应商应在领取成交通知书时将代理机构服务费付至常州市城投建设工程招标有限公司账户。</w:t>
      </w:r>
    </w:p>
    <w:p w14:paraId="78A2877B">
      <w:pPr>
        <w:adjustRightInd w:val="0"/>
        <w:snapToGrid w:val="0"/>
        <w:spacing w:line="360" w:lineRule="exact"/>
        <w:ind w:firstLine="422" w:firstLineChars="200"/>
        <w:rPr>
          <w:rFonts w:ascii="宋体" w:hAnsi="宋体" w:cs="宋体"/>
          <w:b/>
          <w:bCs/>
          <w:color w:val="auto"/>
          <w:szCs w:val="21"/>
        </w:rPr>
      </w:pPr>
      <w:r>
        <w:rPr>
          <w:rFonts w:hint="eastAsia" w:ascii="宋体" w:hAnsi="宋体" w:cs="宋体"/>
          <w:b/>
          <w:bCs/>
          <w:color w:val="auto"/>
          <w:szCs w:val="21"/>
        </w:rPr>
        <w:t>常州市城投建设工程招标有限公司</w:t>
      </w:r>
      <w:r>
        <w:rPr>
          <w:rFonts w:hint="eastAsia" w:ascii="宋体" w:hAnsi="宋体" w:cs="宋体"/>
          <w:b/>
          <w:color w:val="auto"/>
          <w:szCs w:val="21"/>
        </w:rPr>
        <w:t>服务费</w:t>
      </w:r>
      <w:r>
        <w:rPr>
          <w:rFonts w:hint="eastAsia" w:ascii="宋体" w:hAnsi="宋体" w:cs="宋体"/>
          <w:b/>
          <w:bCs/>
          <w:color w:val="auto"/>
          <w:szCs w:val="21"/>
        </w:rPr>
        <w:t>账户</w:t>
      </w:r>
    </w:p>
    <w:p w14:paraId="36D9F30B">
      <w:pPr>
        <w:adjustRightInd w:val="0"/>
        <w:snapToGrid w:val="0"/>
        <w:spacing w:line="360" w:lineRule="exact"/>
        <w:ind w:firstLine="420" w:firstLineChars="200"/>
        <w:rPr>
          <w:rFonts w:ascii="宋体" w:hAnsi="宋体" w:cs="宋体"/>
          <w:color w:val="auto"/>
          <w:szCs w:val="21"/>
        </w:rPr>
      </w:pPr>
      <w:r>
        <w:rPr>
          <w:rFonts w:hint="eastAsia" w:ascii="宋体" w:hAnsi="宋体" w:cs="宋体"/>
          <w:color w:val="auto"/>
          <w:szCs w:val="21"/>
        </w:rPr>
        <w:t>收款单位：常州市城投建设工程招标有限公司</w:t>
      </w:r>
    </w:p>
    <w:p w14:paraId="42EE6DDE">
      <w:pPr>
        <w:adjustRightInd w:val="0"/>
        <w:snapToGrid w:val="0"/>
        <w:spacing w:line="360" w:lineRule="exact"/>
        <w:ind w:firstLine="420" w:firstLineChars="200"/>
        <w:rPr>
          <w:rFonts w:ascii="宋体" w:hAnsi="宋体" w:cs="宋体"/>
          <w:color w:val="auto"/>
          <w:szCs w:val="21"/>
        </w:rPr>
      </w:pPr>
      <w:r>
        <w:rPr>
          <w:rFonts w:hint="eastAsia" w:ascii="宋体" w:hAnsi="宋体" w:cs="宋体"/>
          <w:color w:val="auto"/>
          <w:szCs w:val="21"/>
        </w:rPr>
        <w:t>开户银行：中国建设银行常州大成苑支行</w:t>
      </w:r>
    </w:p>
    <w:p w14:paraId="57B9B6CE">
      <w:pPr>
        <w:spacing w:line="360" w:lineRule="exact"/>
        <w:ind w:firstLine="420" w:firstLineChars="200"/>
        <w:jc w:val="left"/>
        <w:rPr>
          <w:rFonts w:ascii="宋体" w:hAnsi="宋体" w:cs="宋体"/>
          <w:color w:val="auto"/>
          <w:sz w:val="21"/>
          <w:szCs w:val="21"/>
        </w:rPr>
      </w:pPr>
      <w:r>
        <w:rPr>
          <w:rFonts w:hint="eastAsia" w:ascii="宋体" w:hAnsi="宋体" w:cs="宋体"/>
          <w:color w:val="auto"/>
          <w:szCs w:val="21"/>
        </w:rPr>
        <w:t>银行账号：32001624236052500905</w:t>
      </w:r>
      <w:r>
        <w:rPr>
          <w:rFonts w:ascii="宋体" w:hAnsi="宋体" w:cs="宋体"/>
          <w:color w:val="auto"/>
          <w:sz w:val="21"/>
          <w:szCs w:val="21"/>
        </w:rPr>
        <w:pict>
          <v:shape id="任意多边形 5" o:spid="_x0000_s1050" style="position:absolute;left:0pt;margin-left:161.85pt;margin-top:17.65pt;height:0.75pt;width:0pt;mso-position-horizontal-relative:page;z-index:-251656192;mso-width-relative:page;mso-height-relative:page;" filled="f"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" path="m0,0l0,15e">
            <v:path arrowok="t" o:connecttype="custom" o:connectlocs="0,0;0,7144" o:connectangles="0,0"/>
            <v:fill on="f" focussize="0,0"/>
            <v:stroke weight="0.05pt"/>
            <v:imagedata o:title=""/>
            <o:lock v:ext="edit"/>
          </v:shape>
        </w:pict>
      </w:r>
    </w:p>
    <w:p w14:paraId="708FAA1E">
      <w:pPr>
        <w:ind w:firstLine="422" w:firstLineChars="200"/>
        <w:outlineLvl w:val="1"/>
        <w:rPr>
          <w:rFonts w:ascii="宋体" w:hAnsi="宋体" w:cs="宋体"/>
          <w:b/>
          <w:color w:val="auto"/>
          <w:kern w:val="0"/>
          <w:sz w:val="21"/>
          <w:szCs w:val="21"/>
        </w:rPr>
      </w:pPr>
      <w:r>
        <w:rPr>
          <w:rFonts w:hint="eastAsia" w:ascii="宋体" w:hAnsi="宋体" w:cs="宋体"/>
          <w:b/>
          <w:color w:val="auto"/>
          <w:kern w:val="0"/>
          <w:sz w:val="21"/>
          <w:szCs w:val="21"/>
          <w:lang w:val="en-US" w:eastAsia="zh-CN"/>
        </w:rPr>
        <w:t>十</w:t>
      </w:r>
      <w:r>
        <w:rPr>
          <w:rFonts w:hint="eastAsia" w:ascii="宋体" w:hAnsi="宋体" w:cs="宋体"/>
          <w:b/>
          <w:color w:val="auto"/>
          <w:kern w:val="0"/>
          <w:sz w:val="21"/>
          <w:szCs w:val="21"/>
        </w:rPr>
        <w:t>、合同签订</w:t>
      </w:r>
    </w:p>
    <w:p w14:paraId="6DFD8A3E">
      <w:pPr>
        <w:spacing w:line="360" w:lineRule="exact"/>
        <w:ind w:firstLine="420" w:firstLineChars="200"/>
        <w:rPr>
          <w:rFonts w:ascii="宋体" w:hAnsi="宋体" w:cs="宋体"/>
          <w:color w:val="auto"/>
          <w:sz w:val="21"/>
          <w:szCs w:val="21"/>
        </w:rPr>
      </w:pPr>
      <w:r>
        <w:rPr>
          <w:rFonts w:hint="eastAsia" w:ascii="宋体" w:hAnsi="宋体" w:cs="宋体"/>
          <w:color w:val="auto"/>
          <w:sz w:val="21"/>
          <w:szCs w:val="21"/>
        </w:rPr>
        <w:t>成交供应商应在</w:t>
      </w:r>
      <w:r>
        <w:rPr>
          <w:rFonts w:ascii="宋体" w:hAnsi="宋体" w:cs="宋体"/>
          <w:color w:val="auto"/>
          <w:sz w:val="21"/>
          <w:szCs w:val="21"/>
        </w:rPr>
        <w:t>成交通知书发出之日起三十日内</w:t>
      </w:r>
      <w:r>
        <w:rPr>
          <w:rFonts w:hint="eastAsia" w:ascii="宋体" w:hAnsi="宋体" w:cs="宋体"/>
          <w:color w:val="auto"/>
          <w:sz w:val="21"/>
          <w:szCs w:val="21"/>
        </w:rPr>
        <w:t>按成交通知书规定的时间、地点与采购人签订采购合同。</w:t>
      </w:r>
    </w:p>
    <w:p w14:paraId="4D20DB0D">
      <w:pPr>
        <w:rPr>
          <w:rFonts w:hint="eastAsia" w:ascii="宋体" w:hAnsi="宋体" w:cs="宋体"/>
          <w:b/>
          <w:color w:val="auto"/>
          <w:kern w:val="0"/>
          <w:sz w:val="21"/>
          <w:szCs w:val="21"/>
        </w:rPr>
      </w:pPr>
      <w:r>
        <w:rPr>
          <w:rFonts w:hint="eastAsia" w:ascii="宋体" w:hAnsi="宋体" w:cs="宋体"/>
          <w:b/>
          <w:color w:val="auto"/>
          <w:kern w:val="0"/>
          <w:sz w:val="21"/>
          <w:szCs w:val="21"/>
        </w:rPr>
        <w:br w:type="page"/>
      </w:r>
    </w:p>
    <w:p w14:paraId="741A25F2">
      <w:pPr>
        <w:ind w:firstLine="422" w:firstLineChars="200"/>
        <w:outlineLvl w:val="1"/>
        <w:rPr>
          <w:rFonts w:ascii="宋体" w:hAnsi="宋体" w:cs="宋体"/>
          <w:b/>
          <w:color w:val="auto"/>
          <w:kern w:val="0"/>
          <w:sz w:val="21"/>
          <w:szCs w:val="21"/>
        </w:rPr>
      </w:pPr>
      <w:r>
        <w:rPr>
          <w:rFonts w:hint="eastAsia" w:ascii="宋体" w:hAnsi="宋体" w:cs="宋体"/>
          <w:b/>
          <w:color w:val="auto"/>
          <w:kern w:val="0"/>
          <w:sz w:val="21"/>
          <w:szCs w:val="21"/>
          <w:lang w:val="en-US" w:eastAsia="zh-CN"/>
        </w:rPr>
        <w:t>十一</w:t>
      </w:r>
      <w:r>
        <w:rPr>
          <w:rFonts w:hint="eastAsia" w:ascii="宋体" w:hAnsi="宋体" w:cs="宋体"/>
          <w:b/>
          <w:color w:val="auto"/>
          <w:kern w:val="0"/>
          <w:sz w:val="21"/>
          <w:szCs w:val="21"/>
        </w:rPr>
        <w:t>、合同主要条款</w:t>
      </w:r>
    </w:p>
    <w:p w14:paraId="0082FA02">
      <w:pPr>
        <w:adjustRightInd w:val="0"/>
        <w:snapToGrid w:val="0"/>
        <w:spacing w:line="400" w:lineRule="exact"/>
        <w:rPr>
          <w:rFonts w:ascii="宋体" w:hAnsi="宋体" w:cs="宋体"/>
          <w:color w:val="auto"/>
          <w:szCs w:val="21"/>
        </w:rPr>
      </w:pPr>
      <w:r>
        <w:rPr>
          <w:rFonts w:hint="eastAsia" w:ascii="宋体" w:hAnsi="宋体" w:cs="宋体"/>
          <w:b/>
          <w:color w:val="auto"/>
          <w:szCs w:val="21"/>
          <w:lang w:val="zh-CN"/>
        </w:rPr>
        <w:t>采购人（以下称甲</w:t>
      </w:r>
      <w:r>
        <w:rPr>
          <w:rFonts w:hint="eastAsia" w:ascii="宋体" w:hAnsi="宋体" w:cs="宋体"/>
          <w:b/>
          <w:color w:val="auto"/>
          <w:szCs w:val="21"/>
        </w:rPr>
        <w:t xml:space="preserve">方）:                       </w:t>
      </w:r>
      <w:r>
        <w:rPr>
          <w:rFonts w:hint="eastAsia" w:ascii="宋体" w:hAnsi="宋体" w:cs="宋体"/>
          <w:color w:val="auto"/>
          <w:szCs w:val="21"/>
        </w:rPr>
        <w:t>合同编号：</w:t>
      </w:r>
    </w:p>
    <w:p w14:paraId="050EFB92">
      <w:pPr>
        <w:adjustRightInd w:val="0"/>
        <w:snapToGrid w:val="0"/>
        <w:spacing w:line="400" w:lineRule="exact"/>
        <w:rPr>
          <w:rFonts w:ascii="宋体" w:hAnsi="宋体" w:cs="宋体"/>
          <w:color w:val="auto"/>
          <w:szCs w:val="21"/>
          <w:u w:val="single"/>
        </w:rPr>
      </w:pPr>
      <w:r>
        <w:rPr>
          <w:rFonts w:hint="eastAsia" w:ascii="宋体" w:hAnsi="宋体" w:cs="宋体"/>
          <w:b/>
          <w:color w:val="auto"/>
          <w:szCs w:val="21"/>
        </w:rPr>
        <w:t>供应商（</w:t>
      </w:r>
      <w:r>
        <w:rPr>
          <w:rFonts w:hint="eastAsia" w:ascii="宋体" w:hAnsi="宋体" w:cs="宋体"/>
          <w:b/>
          <w:color w:val="auto"/>
          <w:szCs w:val="21"/>
          <w:lang w:val="zh-CN"/>
        </w:rPr>
        <w:t>以下称</w:t>
      </w:r>
      <w:r>
        <w:rPr>
          <w:rFonts w:hint="eastAsia" w:ascii="宋体" w:hAnsi="宋体" w:cs="宋体"/>
          <w:b/>
          <w:color w:val="auto"/>
          <w:szCs w:val="21"/>
        </w:rPr>
        <w:t xml:space="preserve">乙方）:                       </w:t>
      </w:r>
      <w:r>
        <w:rPr>
          <w:rFonts w:hint="eastAsia" w:ascii="宋体" w:hAnsi="宋体" w:cs="宋体"/>
          <w:color w:val="auto"/>
          <w:szCs w:val="21"/>
        </w:rPr>
        <w:t>签订地点：</w:t>
      </w:r>
    </w:p>
    <w:p w14:paraId="2883BFBD">
      <w:pPr>
        <w:autoSpaceDE w:val="0"/>
        <w:autoSpaceDN w:val="0"/>
        <w:adjustRightInd w:val="0"/>
        <w:snapToGrid w:val="0"/>
        <w:spacing w:line="400" w:lineRule="exact"/>
        <w:ind w:firstLine="4620" w:firstLineChars="2200"/>
        <w:rPr>
          <w:rFonts w:ascii="宋体" w:hAnsi="宋体" w:cs="宋体"/>
          <w:b/>
          <w:color w:val="auto"/>
          <w:szCs w:val="21"/>
        </w:rPr>
      </w:pPr>
      <w:r>
        <w:rPr>
          <w:rFonts w:hint="eastAsia" w:ascii="宋体" w:hAnsi="宋体" w:cs="宋体"/>
          <w:color w:val="auto"/>
          <w:szCs w:val="21"/>
        </w:rPr>
        <w:t>合同时间</w:t>
      </w:r>
      <w:r>
        <w:rPr>
          <w:rFonts w:hint="eastAsia" w:cs="宋体"/>
          <w:color w:val="auto"/>
          <w:szCs w:val="21"/>
        </w:rPr>
        <w:t>：</w:t>
      </w:r>
      <w:r>
        <w:rPr>
          <w:rFonts w:hint="eastAsia" w:ascii="宋体" w:hAnsi="宋体" w:cs="宋体"/>
          <w:color w:val="auto"/>
          <w:szCs w:val="21"/>
          <w:u w:val="single"/>
        </w:rPr>
        <w:t xml:space="preserve">    年   月   日</w:t>
      </w:r>
    </w:p>
    <w:p w14:paraId="3D737C89">
      <w:pPr>
        <w:pStyle w:val="11"/>
        <w:adjustRightInd w:val="0"/>
        <w:snapToGrid w:val="0"/>
        <w:spacing w:line="360" w:lineRule="exact"/>
        <w:ind w:firstLine="424" w:firstLineChars="202"/>
        <w:rPr>
          <w:rFonts w:eastAsia="宋体" w:cs="宋体"/>
          <w:color w:val="auto"/>
          <w:sz w:val="21"/>
          <w:szCs w:val="21"/>
        </w:rPr>
      </w:pPr>
      <w:r>
        <w:rPr>
          <w:rFonts w:hint="eastAsia" w:eastAsia="宋体" w:cs="宋体"/>
          <w:color w:val="auto"/>
          <w:sz w:val="21"/>
          <w:szCs w:val="21"/>
        </w:rPr>
        <w:t>甲乙双方依据《中华人民共和国民法典》以及有关法律、法规的规定，经协商一致，订立本合同，以便共同遵守。</w:t>
      </w:r>
    </w:p>
    <w:p w14:paraId="17E54729">
      <w:pPr>
        <w:pStyle w:val="11"/>
        <w:adjustRightInd w:val="0"/>
        <w:snapToGrid w:val="0"/>
        <w:spacing w:line="360" w:lineRule="exact"/>
        <w:ind w:firstLine="426" w:firstLineChars="202"/>
        <w:rPr>
          <w:rFonts w:eastAsia="宋体" w:cs="宋体"/>
          <w:b/>
          <w:color w:val="auto"/>
          <w:sz w:val="21"/>
          <w:szCs w:val="21"/>
        </w:rPr>
      </w:pPr>
      <w:r>
        <w:rPr>
          <w:rFonts w:hint="eastAsia" w:eastAsia="宋体" w:cs="宋体"/>
          <w:b/>
          <w:color w:val="auto"/>
          <w:sz w:val="21"/>
          <w:szCs w:val="21"/>
        </w:rPr>
        <w:t>第一条 合同标的</w:t>
      </w:r>
    </w:p>
    <w:p w14:paraId="37E6062E">
      <w:pPr>
        <w:widowControl/>
        <w:adjustRightInd w:val="0"/>
        <w:snapToGrid w:val="0"/>
        <w:spacing w:line="360" w:lineRule="exact"/>
        <w:ind w:firstLine="424" w:firstLineChars="202"/>
        <w:jc w:val="left"/>
        <w:rPr>
          <w:rFonts w:ascii="宋体" w:hAnsi="宋体" w:cs="宋体"/>
          <w:color w:val="auto"/>
          <w:kern w:val="0"/>
          <w:szCs w:val="21"/>
          <w:lang w:val="zh-CN"/>
        </w:rPr>
      </w:pPr>
      <w:r>
        <w:rPr>
          <w:rFonts w:hint="eastAsia" w:ascii="宋体" w:hAnsi="宋体" w:cs="宋体"/>
          <w:color w:val="auto"/>
          <w:kern w:val="0"/>
          <w:szCs w:val="21"/>
          <w:lang w:val="zh-CN"/>
        </w:rPr>
        <w:t>乙方根据甲方需求提供下列服务：</w:t>
      </w:r>
      <w:r>
        <w:rPr>
          <w:rFonts w:hint="eastAsia" w:ascii="宋体" w:hAnsi="宋体" w:cs="宋体"/>
          <w:b/>
          <w:bCs/>
          <w:color w:val="auto"/>
          <w:kern w:val="0"/>
          <w:szCs w:val="21"/>
          <w:lang w:val="zh-CN"/>
        </w:rPr>
        <w:t>常州市经开区文化活动中心消防维保服务项目</w:t>
      </w:r>
      <w:r>
        <w:rPr>
          <w:rFonts w:hint="eastAsia" w:ascii="宋体" w:hAnsi="宋体" w:cs="宋体"/>
          <w:color w:val="auto"/>
          <w:kern w:val="0"/>
          <w:szCs w:val="21"/>
          <w:lang w:val="zh-CN"/>
        </w:rPr>
        <w:t>，</w:t>
      </w:r>
      <w:r>
        <w:rPr>
          <w:rFonts w:hint="eastAsia" w:ascii="宋体" w:hAnsi="宋体" w:cs="宋体"/>
          <w:color w:val="auto"/>
          <w:szCs w:val="21"/>
        </w:rPr>
        <w:t>系指根据合同规定乙方须承担与服务有关的所有辅助服务</w:t>
      </w:r>
      <w:r>
        <w:rPr>
          <w:rFonts w:hint="eastAsia" w:ascii="宋体" w:hAnsi="宋体" w:cs="宋体"/>
          <w:color w:val="auto"/>
          <w:kern w:val="0"/>
          <w:szCs w:val="21"/>
          <w:lang w:val="zh-CN"/>
        </w:rPr>
        <w:t>。</w:t>
      </w:r>
    </w:p>
    <w:p w14:paraId="48569698">
      <w:pPr>
        <w:pStyle w:val="11"/>
        <w:adjustRightInd w:val="0"/>
        <w:snapToGrid w:val="0"/>
        <w:spacing w:line="360" w:lineRule="exact"/>
        <w:ind w:firstLine="426" w:firstLineChars="202"/>
        <w:rPr>
          <w:rFonts w:eastAsia="宋体" w:cs="宋体"/>
          <w:b/>
          <w:color w:val="auto"/>
          <w:sz w:val="21"/>
          <w:szCs w:val="21"/>
        </w:rPr>
      </w:pPr>
      <w:r>
        <w:rPr>
          <w:rFonts w:hint="eastAsia" w:eastAsia="宋体" w:cs="宋体"/>
          <w:b/>
          <w:color w:val="auto"/>
          <w:sz w:val="21"/>
          <w:szCs w:val="21"/>
        </w:rPr>
        <w:t>第二条 合同价格</w:t>
      </w:r>
    </w:p>
    <w:p w14:paraId="417134F0">
      <w:pPr>
        <w:pStyle w:val="11"/>
        <w:adjustRightInd w:val="0"/>
        <w:snapToGrid w:val="0"/>
        <w:spacing w:line="360" w:lineRule="exact"/>
        <w:ind w:firstLine="426" w:firstLineChars="202"/>
        <w:jc w:val="left"/>
        <w:rPr>
          <w:rFonts w:eastAsia="宋体" w:cs="宋体"/>
          <w:b/>
          <w:color w:val="auto"/>
          <w:sz w:val="21"/>
          <w:szCs w:val="21"/>
        </w:rPr>
      </w:pPr>
      <w:r>
        <w:rPr>
          <w:rFonts w:hint="eastAsia" w:eastAsia="宋体" w:cs="宋体"/>
          <w:b/>
          <w:color w:val="auto"/>
          <w:sz w:val="21"/>
          <w:szCs w:val="21"/>
        </w:rPr>
        <w:t>签约合同总价（人民币，下同）：</w:t>
      </w:r>
      <w:r>
        <w:rPr>
          <w:rFonts w:hint="eastAsia" w:eastAsia="宋体" w:cs="宋体"/>
          <w:b/>
          <w:color w:val="auto"/>
          <w:sz w:val="21"/>
          <w:szCs w:val="21"/>
          <w:u w:val="single"/>
        </w:rPr>
        <w:t xml:space="preserve">             元</w:t>
      </w:r>
      <w:r>
        <w:rPr>
          <w:rFonts w:hint="eastAsia" w:eastAsia="宋体" w:cs="宋体"/>
          <w:b/>
          <w:color w:val="auto"/>
          <w:sz w:val="21"/>
          <w:szCs w:val="21"/>
        </w:rPr>
        <w:t xml:space="preserve">（小写       ）。 </w:t>
      </w:r>
    </w:p>
    <w:p w14:paraId="21F17493">
      <w:pPr>
        <w:pStyle w:val="11"/>
        <w:adjustRightInd w:val="0"/>
        <w:snapToGrid w:val="0"/>
        <w:spacing w:line="360" w:lineRule="exact"/>
        <w:ind w:firstLine="424" w:firstLineChars="202"/>
        <w:rPr>
          <w:rFonts w:eastAsia="宋体" w:cs="宋体"/>
          <w:color w:val="auto"/>
          <w:sz w:val="21"/>
          <w:szCs w:val="21"/>
        </w:rPr>
      </w:pPr>
      <w:r>
        <w:rPr>
          <w:rFonts w:hint="eastAsia" w:eastAsia="宋体" w:cs="宋体"/>
          <w:color w:val="auto"/>
          <w:sz w:val="21"/>
          <w:szCs w:val="21"/>
        </w:rPr>
        <w:t>本合同总价包括询价通知书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14:paraId="1E289E21">
      <w:pPr>
        <w:pStyle w:val="11"/>
        <w:adjustRightInd w:val="0"/>
        <w:snapToGrid w:val="0"/>
        <w:spacing w:line="360" w:lineRule="exact"/>
        <w:ind w:firstLine="424" w:firstLineChars="202"/>
        <w:rPr>
          <w:rFonts w:eastAsia="宋体" w:cs="宋体"/>
          <w:color w:val="auto"/>
          <w:sz w:val="21"/>
          <w:szCs w:val="21"/>
        </w:rPr>
      </w:pPr>
      <w:r>
        <w:rPr>
          <w:rFonts w:hint="eastAsia" w:eastAsia="宋体" w:cs="宋体"/>
          <w:color w:val="auto"/>
          <w:sz w:val="21"/>
          <w:szCs w:val="21"/>
        </w:rPr>
        <w:t>本合同总价款还包含乙方应当提供的伴随服务/售后服务费用。</w:t>
      </w:r>
    </w:p>
    <w:p w14:paraId="2D3D1366">
      <w:pPr>
        <w:pStyle w:val="11"/>
        <w:adjustRightInd w:val="0"/>
        <w:snapToGrid w:val="0"/>
        <w:spacing w:line="360" w:lineRule="exact"/>
        <w:ind w:firstLine="422" w:firstLineChars="200"/>
        <w:rPr>
          <w:rFonts w:eastAsia="宋体" w:cs="宋体"/>
          <w:b/>
          <w:color w:val="auto"/>
          <w:sz w:val="21"/>
          <w:szCs w:val="21"/>
        </w:rPr>
      </w:pPr>
      <w:r>
        <w:rPr>
          <w:rFonts w:hint="eastAsia" w:eastAsia="宋体" w:cs="宋体"/>
          <w:b/>
          <w:color w:val="auto"/>
          <w:sz w:val="21"/>
          <w:szCs w:val="21"/>
        </w:rPr>
        <w:t>第三条 合同履行期限</w:t>
      </w:r>
    </w:p>
    <w:p w14:paraId="27087E4F">
      <w:pPr>
        <w:adjustRightInd w:val="0"/>
        <w:snapToGrid w:val="0"/>
        <w:spacing w:line="360" w:lineRule="exact"/>
        <w:ind w:firstLine="420" w:firstLineChars="200"/>
        <w:rPr>
          <w:rFonts w:ascii="宋体" w:hAnsi="宋体" w:cs="宋体"/>
          <w:b w:val="0"/>
          <w:bCs/>
          <w:color w:val="auto"/>
          <w:szCs w:val="21"/>
        </w:rPr>
      </w:pPr>
      <w:r>
        <w:rPr>
          <w:rFonts w:hint="eastAsia" w:ascii="宋体" w:hAnsi="宋体" w:cs="宋体"/>
          <w:b w:val="0"/>
          <w:bCs/>
          <w:color w:val="auto"/>
          <w:szCs w:val="21"/>
        </w:rPr>
        <w:t>服务期限为一年</w:t>
      </w:r>
      <w:r>
        <w:rPr>
          <w:rFonts w:hint="eastAsia" w:ascii="宋体" w:hAnsi="宋体" w:cs="宋体"/>
          <w:b w:val="0"/>
          <w:bCs/>
          <w:color w:val="auto"/>
          <w:szCs w:val="21"/>
          <w:lang w:eastAsia="zh-CN"/>
        </w:rPr>
        <w:t>（</w:t>
      </w:r>
      <w:r>
        <w:rPr>
          <w:rFonts w:hint="eastAsia" w:ascii="宋体" w:hAnsi="宋体" w:cs="宋体"/>
          <w:b w:val="0"/>
          <w:bCs/>
          <w:color w:val="auto"/>
          <w:szCs w:val="21"/>
          <w:lang w:val="en-US" w:eastAsia="zh-CN"/>
        </w:rPr>
        <w:t xml:space="preserve">  </w:t>
      </w:r>
      <w:r>
        <w:rPr>
          <w:rFonts w:hint="eastAsia" w:ascii="宋体" w:hAnsi="宋体" w:cs="宋体"/>
          <w:b w:val="0"/>
          <w:bCs/>
          <w:color w:val="auto"/>
          <w:szCs w:val="21"/>
        </w:rPr>
        <w:t xml:space="preserve">  年  月   日-   年  月  日</w:t>
      </w:r>
      <w:r>
        <w:rPr>
          <w:rFonts w:hint="eastAsia" w:ascii="宋体" w:hAnsi="宋体" w:cs="宋体"/>
          <w:b w:val="0"/>
          <w:bCs/>
          <w:color w:val="auto"/>
          <w:szCs w:val="21"/>
          <w:lang w:eastAsia="zh-CN"/>
        </w:rPr>
        <w:t>）</w:t>
      </w:r>
      <w:r>
        <w:rPr>
          <w:rFonts w:hint="eastAsia" w:ascii="宋体" w:hAnsi="宋体" w:cs="宋体"/>
          <w:b w:val="0"/>
          <w:bCs/>
          <w:color w:val="auto"/>
          <w:szCs w:val="21"/>
        </w:rPr>
        <w:t>，其中：前三个月为试用期，试用期满须经</w:t>
      </w:r>
      <w:r>
        <w:rPr>
          <w:rFonts w:hint="eastAsia" w:ascii="宋体" w:hAnsi="宋体" w:cs="宋体"/>
          <w:b w:val="0"/>
          <w:bCs/>
          <w:color w:val="auto"/>
          <w:szCs w:val="21"/>
          <w:lang w:val="en-US" w:eastAsia="zh-CN"/>
        </w:rPr>
        <w:t>甲方</w:t>
      </w:r>
      <w:r>
        <w:rPr>
          <w:rFonts w:hint="eastAsia" w:ascii="宋体" w:hAnsi="宋体" w:cs="宋体"/>
          <w:b w:val="0"/>
          <w:bCs/>
          <w:color w:val="auto"/>
          <w:szCs w:val="21"/>
        </w:rPr>
        <w:t>考核，考核不合格，</w:t>
      </w:r>
      <w:r>
        <w:rPr>
          <w:rFonts w:hint="eastAsia" w:ascii="宋体" w:hAnsi="宋体" w:cs="宋体"/>
          <w:b w:val="0"/>
          <w:bCs/>
          <w:color w:val="auto"/>
          <w:szCs w:val="21"/>
          <w:lang w:val="en-US" w:eastAsia="zh-CN"/>
        </w:rPr>
        <w:t>甲方</w:t>
      </w:r>
      <w:r>
        <w:rPr>
          <w:rFonts w:hint="eastAsia" w:ascii="宋体" w:hAnsi="宋体" w:cs="宋体"/>
          <w:b w:val="0"/>
          <w:bCs/>
          <w:color w:val="auto"/>
          <w:szCs w:val="21"/>
        </w:rPr>
        <w:t>有权解除合同。</w:t>
      </w:r>
    </w:p>
    <w:p w14:paraId="34B34D18">
      <w:pPr>
        <w:pStyle w:val="11"/>
        <w:adjustRightInd w:val="0"/>
        <w:snapToGrid w:val="0"/>
        <w:spacing w:line="360" w:lineRule="exact"/>
        <w:ind w:firstLine="422" w:firstLineChars="200"/>
        <w:rPr>
          <w:rFonts w:eastAsia="宋体" w:cs="宋体"/>
          <w:b/>
          <w:color w:val="auto"/>
          <w:sz w:val="21"/>
          <w:szCs w:val="21"/>
        </w:rPr>
      </w:pPr>
      <w:r>
        <w:rPr>
          <w:rFonts w:hint="eastAsia" w:eastAsia="宋体" w:cs="宋体"/>
          <w:b/>
          <w:color w:val="auto"/>
          <w:sz w:val="21"/>
          <w:szCs w:val="21"/>
        </w:rPr>
        <w:t>第四条 组成本合同的有关文件</w:t>
      </w:r>
    </w:p>
    <w:p w14:paraId="450FD603">
      <w:pPr>
        <w:pStyle w:val="11"/>
        <w:adjustRightInd w:val="0"/>
        <w:snapToGrid w:val="0"/>
        <w:spacing w:line="360" w:lineRule="exact"/>
        <w:ind w:firstLine="422" w:firstLineChars="201"/>
        <w:rPr>
          <w:rFonts w:eastAsia="宋体" w:cs="宋体"/>
          <w:color w:val="auto"/>
          <w:sz w:val="21"/>
          <w:szCs w:val="21"/>
        </w:rPr>
      </w:pPr>
      <w:r>
        <w:rPr>
          <w:rFonts w:hint="eastAsia" w:eastAsia="宋体" w:cs="宋体"/>
          <w:color w:val="auto"/>
          <w:sz w:val="21"/>
          <w:szCs w:val="21"/>
        </w:rPr>
        <w:t>下列与本次采购活动有关的文件及有关附件是本合同不可分割的组成部分，与本合同具有同等法律效力，这些文件包括但不限于：</w:t>
      </w:r>
    </w:p>
    <w:p w14:paraId="2D0592D2">
      <w:pPr>
        <w:adjustRightInd w:val="0"/>
        <w:snapToGrid w:val="0"/>
        <w:spacing w:line="360" w:lineRule="exact"/>
        <w:ind w:firstLine="420" w:firstLineChars="200"/>
        <w:rPr>
          <w:rFonts w:ascii="宋体" w:hAnsi="宋体" w:cs="宋体"/>
          <w:color w:val="auto"/>
          <w:szCs w:val="21"/>
        </w:rPr>
      </w:pPr>
      <w:r>
        <w:rPr>
          <w:rFonts w:hint="eastAsia" w:ascii="宋体" w:hAnsi="宋体" w:cs="宋体"/>
          <w:color w:val="auto"/>
          <w:szCs w:val="21"/>
        </w:rPr>
        <w:t xml:space="preserve">（1）询价通知书（编号：   ）             （2）乙方提供的询价响应文件； </w:t>
      </w:r>
    </w:p>
    <w:p w14:paraId="6E323165">
      <w:pPr>
        <w:adjustRightInd w:val="0"/>
        <w:snapToGrid w:val="0"/>
        <w:spacing w:line="360" w:lineRule="exact"/>
        <w:ind w:firstLine="420" w:firstLineChars="200"/>
        <w:rPr>
          <w:rFonts w:ascii="宋体" w:hAnsi="宋体" w:cs="宋体"/>
          <w:color w:val="auto"/>
          <w:szCs w:val="21"/>
        </w:rPr>
      </w:pPr>
      <w:r>
        <w:rPr>
          <w:rFonts w:hint="eastAsia" w:ascii="宋体" w:hAnsi="宋体" w:cs="宋体"/>
          <w:color w:val="auto"/>
          <w:szCs w:val="21"/>
        </w:rPr>
        <w:t>（3）成交通知书；                        （4）甲乙双方商定的其他文件等。</w:t>
      </w:r>
    </w:p>
    <w:p w14:paraId="36F67CBA">
      <w:pPr>
        <w:adjustRightInd w:val="0"/>
        <w:snapToGrid w:val="0"/>
        <w:spacing w:line="360" w:lineRule="exact"/>
        <w:ind w:firstLine="426" w:firstLineChars="202"/>
        <w:rPr>
          <w:rFonts w:ascii="宋体" w:hAnsi="宋体" w:cs="宋体"/>
          <w:b/>
          <w:color w:val="auto"/>
          <w:szCs w:val="21"/>
        </w:rPr>
      </w:pPr>
      <w:r>
        <w:rPr>
          <w:rFonts w:hint="eastAsia" w:ascii="宋体" w:hAnsi="宋体" w:cs="宋体"/>
          <w:b/>
          <w:color w:val="auto"/>
          <w:szCs w:val="21"/>
        </w:rPr>
        <w:t>第五条 合同款结算及支付</w:t>
      </w:r>
    </w:p>
    <w:p w14:paraId="708F3DE4">
      <w:pPr>
        <w:adjustRightInd w:val="0"/>
        <w:snapToGrid w:val="0"/>
        <w:spacing w:line="360" w:lineRule="exact"/>
        <w:ind w:firstLine="424" w:firstLineChars="202"/>
        <w:rPr>
          <w:rFonts w:ascii="宋体" w:hAnsi="宋体" w:cs="宋体"/>
          <w:color w:val="auto"/>
          <w:szCs w:val="21"/>
        </w:rPr>
      </w:pPr>
      <w:r>
        <w:rPr>
          <w:rFonts w:hint="eastAsia" w:ascii="宋体" w:hAnsi="宋体" w:cs="宋体"/>
          <w:color w:val="auto"/>
          <w:szCs w:val="21"/>
        </w:rPr>
        <w:t>1.本合同项下所有款项均以人民币支付。</w:t>
      </w:r>
    </w:p>
    <w:p w14:paraId="1C68AD5D">
      <w:pPr>
        <w:adjustRightInd w:val="0"/>
        <w:snapToGrid w:val="0"/>
        <w:spacing w:line="360" w:lineRule="exact"/>
        <w:ind w:firstLine="424" w:firstLineChars="202"/>
        <w:rPr>
          <w:rFonts w:ascii="宋体" w:hAnsi="宋体" w:cs="宋体"/>
          <w:color w:val="auto"/>
          <w:szCs w:val="21"/>
        </w:rPr>
      </w:pPr>
      <w:r>
        <w:rPr>
          <w:rFonts w:hint="eastAsia" w:ascii="宋体" w:hAnsi="宋体" w:cs="宋体"/>
          <w:color w:val="auto"/>
          <w:szCs w:val="21"/>
        </w:rPr>
        <w:t>2.本合同项下的采购资金由甲方自行支付，乙方向甲方开具发票。</w:t>
      </w:r>
    </w:p>
    <w:p w14:paraId="052DEDAB">
      <w:pPr>
        <w:adjustRightInd w:val="0"/>
        <w:snapToGrid w:val="0"/>
        <w:spacing w:line="360" w:lineRule="exact"/>
        <w:ind w:firstLine="426" w:firstLineChars="202"/>
        <w:rPr>
          <w:rFonts w:ascii="宋体" w:hAnsi="宋体" w:cs="宋体"/>
          <w:b/>
          <w:bCs/>
          <w:color w:val="auto"/>
          <w:szCs w:val="21"/>
        </w:rPr>
      </w:pPr>
      <w:r>
        <w:rPr>
          <w:rFonts w:hint="eastAsia" w:ascii="宋体" w:hAnsi="宋体" w:cs="宋体"/>
          <w:b/>
          <w:bCs/>
          <w:color w:val="auto"/>
          <w:szCs w:val="21"/>
        </w:rPr>
        <w:t>3.结算原则：</w:t>
      </w:r>
      <w:r>
        <w:rPr>
          <w:rFonts w:hint="eastAsia" w:ascii="宋体" w:hAnsi="宋体" w:cs="宋体"/>
          <w:b/>
          <w:bCs/>
          <w:color w:val="auto"/>
          <w:szCs w:val="21"/>
          <w:lang w:val="en-US" w:eastAsia="zh-CN"/>
        </w:rPr>
        <w:t>固定总价</w:t>
      </w:r>
      <w:r>
        <w:rPr>
          <w:rFonts w:hint="eastAsia" w:ascii="宋体" w:hAnsi="宋体" w:cs="宋体"/>
          <w:b/>
          <w:bCs/>
          <w:color w:val="auto"/>
          <w:szCs w:val="21"/>
        </w:rPr>
        <w:t>。</w:t>
      </w:r>
    </w:p>
    <w:p w14:paraId="2E2F434D">
      <w:pPr>
        <w:adjustRightInd w:val="0"/>
        <w:snapToGrid w:val="0"/>
        <w:spacing w:line="360" w:lineRule="exact"/>
        <w:ind w:firstLine="426" w:firstLineChars="202"/>
        <w:rPr>
          <w:rFonts w:ascii="宋体" w:hAnsi="宋体" w:cs="宋体"/>
          <w:color w:val="auto"/>
          <w:szCs w:val="21"/>
        </w:rPr>
      </w:pPr>
      <w:r>
        <w:rPr>
          <w:rFonts w:hint="eastAsia" w:ascii="宋体" w:hAnsi="宋体" w:cs="宋体"/>
          <w:b/>
          <w:bCs/>
          <w:color w:val="auto"/>
          <w:szCs w:val="21"/>
        </w:rPr>
        <w:t>4.付款方式：</w:t>
      </w:r>
      <w:r>
        <w:rPr>
          <w:rFonts w:hint="eastAsia" w:ascii="宋体" w:hAnsi="宋体" w:eastAsia="宋体" w:cs="宋体"/>
          <w:b/>
          <w:color w:val="auto"/>
          <w:szCs w:val="21"/>
          <w:lang w:eastAsia="zh-CN"/>
        </w:rPr>
        <w:t>合同签订满6个月后采购人向成交供应商支付合同金额的</w:t>
      </w:r>
      <w:r>
        <w:rPr>
          <w:rFonts w:hint="eastAsia" w:ascii="宋体" w:hAnsi="宋体" w:cs="宋体"/>
          <w:b/>
          <w:color w:val="auto"/>
          <w:szCs w:val="21"/>
          <w:lang w:val="en-US" w:eastAsia="zh-CN"/>
        </w:rPr>
        <w:t>50</w:t>
      </w:r>
      <w:r>
        <w:rPr>
          <w:rFonts w:hint="eastAsia" w:ascii="宋体" w:hAnsi="宋体" w:eastAsia="宋体" w:cs="宋体"/>
          <w:b/>
          <w:color w:val="auto"/>
          <w:szCs w:val="21"/>
          <w:lang w:eastAsia="zh-CN"/>
        </w:rPr>
        <w:t>%，</w:t>
      </w:r>
      <w:r>
        <w:rPr>
          <w:rFonts w:hint="eastAsia" w:ascii="宋体" w:hAnsi="宋体" w:cs="宋体"/>
          <w:b/>
          <w:color w:val="auto"/>
          <w:szCs w:val="21"/>
          <w:lang w:val="en-US" w:eastAsia="zh-CN"/>
        </w:rPr>
        <w:t>剩余</w:t>
      </w:r>
      <w:r>
        <w:rPr>
          <w:rFonts w:hint="eastAsia" w:ascii="宋体" w:hAnsi="宋体" w:eastAsia="宋体" w:cs="宋体"/>
          <w:b/>
          <w:color w:val="auto"/>
          <w:szCs w:val="21"/>
          <w:lang w:eastAsia="zh-CN"/>
        </w:rPr>
        <w:t>5</w:t>
      </w:r>
      <w:r>
        <w:rPr>
          <w:rFonts w:hint="eastAsia" w:ascii="宋体" w:hAnsi="宋体" w:cs="宋体"/>
          <w:b/>
          <w:color w:val="auto"/>
          <w:szCs w:val="21"/>
          <w:lang w:val="en-US" w:eastAsia="zh-CN"/>
        </w:rPr>
        <w:t>0</w:t>
      </w:r>
      <w:r>
        <w:rPr>
          <w:rFonts w:hint="eastAsia" w:ascii="宋体" w:hAnsi="宋体" w:eastAsia="宋体" w:cs="宋体"/>
          <w:b/>
          <w:color w:val="auto"/>
          <w:szCs w:val="21"/>
          <w:lang w:eastAsia="zh-CN"/>
        </w:rPr>
        <w:t>%服务期满经验收合格后</w:t>
      </w:r>
      <w:r>
        <w:rPr>
          <w:rFonts w:hint="eastAsia" w:ascii="宋体" w:hAnsi="宋体" w:cs="宋体"/>
          <w:b/>
          <w:color w:val="auto"/>
          <w:szCs w:val="21"/>
          <w:lang w:val="en-US" w:eastAsia="zh-CN"/>
        </w:rPr>
        <w:t>一次性付清</w:t>
      </w:r>
      <w:r>
        <w:rPr>
          <w:rFonts w:hint="eastAsia" w:ascii="宋体" w:hAnsi="宋体" w:eastAsia="宋体" w:cs="宋体"/>
          <w:b/>
          <w:color w:val="auto"/>
          <w:szCs w:val="21"/>
          <w:lang w:eastAsia="zh-CN"/>
        </w:rPr>
        <w:t>。</w:t>
      </w:r>
    </w:p>
    <w:p w14:paraId="6273676C">
      <w:pPr>
        <w:adjustRightInd w:val="0"/>
        <w:snapToGrid w:val="0"/>
        <w:spacing w:line="360" w:lineRule="exact"/>
        <w:ind w:firstLine="426" w:firstLineChars="202"/>
        <w:rPr>
          <w:rFonts w:ascii="宋体" w:hAnsi="宋体" w:cs="宋体"/>
          <w:b/>
          <w:color w:val="auto"/>
          <w:szCs w:val="21"/>
        </w:rPr>
      </w:pPr>
      <w:r>
        <w:rPr>
          <w:rFonts w:hint="eastAsia" w:ascii="宋体" w:hAnsi="宋体" w:cs="宋体"/>
          <w:b/>
          <w:color w:val="auto"/>
          <w:szCs w:val="21"/>
        </w:rPr>
        <w:t>第六条 违约责任</w:t>
      </w:r>
    </w:p>
    <w:p w14:paraId="77116B7A">
      <w:pPr>
        <w:adjustRightInd w:val="0"/>
        <w:snapToGrid w:val="0"/>
        <w:spacing w:line="360" w:lineRule="exact"/>
        <w:ind w:firstLine="420" w:firstLineChars="200"/>
        <w:rPr>
          <w:rFonts w:ascii="宋体" w:hAnsi="宋体" w:cs="宋体"/>
          <w:color w:val="auto"/>
        </w:rPr>
      </w:pPr>
      <w:r>
        <w:rPr>
          <w:rFonts w:hint="eastAsia" w:ascii="宋体" w:hAnsi="宋体" w:cs="宋体"/>
          <w:color w:val="auto"/>
        </w:rPr>
        <w:t>1.如乙方不能</w:t>
      </w:r>
      <w:r>
        <w:rPr>
          <w:rFonts w:hint="eastAsia" w:ascii="宋体" w:hAnsi="宋体" w:cs="宋体"/>
          <w:color w:val="auto"/>
          <w:szCs w:val="21"/>
        </w:rPr>
        <w:t>按约定进行服务的，</w:t>
      </w:r>
      <w:r>
        <w:rPr>
          <w:rFonts w:hint="eastAsia" w:ascii="宋体" w:hAnsi="宋体" w:cs="宋体"/>
          <w:color w:val="auto"/>
        </w:rPr>
        <w:t>甲方有权解除合同，同时有权要求乙方按照合同总价5%的标准支付违约金，解除合同的通知自发出之日生效。</w:t>
      </w:r>
    </w:p>
    <w:p w14:paraId="6EF40B66">
      <w:pPr>
        <w:adjustRightInd w:val="0"/>
        <w:snapToGrid w:val="0"/>
        <w:spacing w:line="360" w:lineRule="exact"/>
        <w:ind w:firstLine="420" w:firstLineChars="200"/>
        <w:rPr>
          <w:rFonts w:ascii="宋体" w:hAnsi="宋体" w:cs="宋体"/>
          <w:color w:val="auto"/>
        </w:rPr>
      </w:pPr>
      <w:r>
        <w:rPr>
          <w:rFonts w:hint="eastAsia" w:ascii="宋体" w:hAnsi="宋体" w:cs="宋体"/>
          <w:color w:val="auto"/>
        </w:rPr>
        <w:t>2.甲方未按合同规定的期限向乙方支付的，每逾期1天甲方向乙方偿付欠款总额的5‰滞纳金，但累计滞纳金总额不超过欠款总额的5% 。</w:t>
      </w:r>
    </w:p>
    <w:p w14:paraId="51DFC829">
      <w:pPr>
        <w:adjustRightInd w:val="0"/>
        <w:snapToGrid w:val="0"/>
        <w:spacing w:line="360" w:lineRule="exact"/>
        <w:ind w:firstLine="420" w:firstLineChars="200"/>
        <w:rPr>
          <w:rFonts w:ascii="宋体" w:hAnsi="宋体" w:cs="宋体"/>
          <w:color w:val="auto"/>
        </w:rPr>
      </w:pPr>
      <w:r>
        <w:rPr>
          <w:rFonts w:hint="eastAsia" w:ascii="宋体" w:hAnsi="宋体" w:cs="宋体"/>
          <w:color w:val="auto"/>
        </w:rPr>
        <w:t>3.乙方未按本合同的规定和“服务承诺”提供伴随服务的，甲方有权提前解除本合同，同时乙方应按合同总价款的5%向甲方承担违约责任。</w:t>
      </w:r>
    </w:p>
    <w:p w14:paraId="43239F8F">
      <w:pPr>
        <w:adjustRightInd w:val="0"/>
        <w:snapToGrid w:val="0"/>
        <w:spacing w:line="360" w:lineRule="exact"/>
        <w:ind w:firstLine="420" w:firstLineChars="200"/>
        <w:rPr>
          <w:rFonts w:ascii="宋体" w:hAnsi="宋体" w:cs="宋体"/>
          <w:color w:val="auto"/>
        </w:rPr>
      </w:pPr>
      <w:r>
        <w:rPr>
          <w:rFonts w:hint="eastAsia" w:ascii="宋体" w:hAnsi="宋体" w:cs="宋体"/>
          <w:color w:val="auto"/>
        </w:rPr>
        <w:t>4.乙方在承担上述一项或多项违约责任后，仍应继续履行合同规定的义务（甲方解除合同的除外）。甲方未能及时追究乙方的任何一项违约责任并不表明甲方放弃追究乙方该项或其他违约责任。</w:t>
      </w:r>
    </w:p>
    <w:p w14:paraId="239D400A">
      <w:pPr>
        <w:adjustRightInd w:val="0"/>
        <w:snapToGrid w:val="0"/>
        <w:spacing w:line="360" w:lineRule="exact"/>
        <w:ind w:firstLine="420" w:firstLineChars="200"/>
        <w:rPr>
          <w:rFonts w:ascii="宋体" w:hAnsi="宋体" w:cs="宋体"/>
          <w:color w:val="auto"/>
        </w:rPr>
      </w:pPr>
      <w:r>
        <w:rPr>
          <w:rFonts w:hint="eastAsia" w:ascii="宋体" w:hAnsi="宋体" w:cs="宋体"/>
          <w:color w:val="auto"/>
        </w:rPr>
        <w:t>5.乙方属虚假承诺，或是由于乙方的过错造成合同无法继续履行的，应向甲方支付不少于合同总价30%违约金，若该违约金不足以弥补甲方损失，则应当赔偿甲方所有损失。</w:t>
      </w:r>
    </w:p>
    <w:p w14:paraId="1075ADFB">
      <w:pPr>
        <w:adjustRightInd w:val="0"/>
        <w:snapToGrid w:val="0"/>
        <w:spacing w:line="360" w:lineRule="exact"/>
        <w:ind w:firstLine="420" w:firstLineChars="200"/>
        <w:rPr>
          <w:rFonts w:ascii="宋体" w:hAnsi="宋体" w:cs="宋体"/>
          <w:color w:val="auto"/>
        </w:rPr>
      </w:pPr>
      <w:r>
        <w:rPr>
          <w:rFonts w:hint="eastAsia" w:ascii="宋体" w:hAnsi="宋体" w:cs="宋体"/>
          <w:color w:val="auto"/>
        </w:rPr>
        <w:t>6.其他未尽事宜，以《民法典》等有关法律法规规定为准，无相关规定的，双方协商解决。</w:t>
      </w:r>
    </w:p>
    <w:p w14:paraId="61969BAD">
      <w:pPr>
        <w:adjustRightInd w:val="0"/>
        <w:snapToGrid w:val="0"/>
        <w:spacing w:line="360" w:lineRule="exact"/>
        <w:ind w:firstLine="426" w:firstLineChars="202"/>
        <w:rPr>
          <w:rFonts w:ascii="宋体" w:hAnsi="宋体" w:cs="宋体"/>
          <w:b/>
          <w:color w:val="auto"/>
          <w:szCs w:val="21"/>
        </w:rPr>
      </w:pPr>
      <w:r>
        <w:rPr>
          <w:rFonts w:hint="eastAsia" w:ascii="宋体" w:hAnsi="宋体" w:cs="宋体"/>
          <w:b/>
          <w:color w:val="auto"/>
          <w:szCs w:val="21"/>
        </w:rPr>
        <w:t>第七条 合同的变更和终止</w:t>
      </w:r>
    </w:p>
    <w:p w14:paraId="5197B03E">
      <w:pPr>
        <w:adjustRightInd w:val="0"/>
        <w:snapToGrid w:val="0"/>
        <w:spacing w:line="360" w:lineRule="exact"/>
        <w:ind w:firstLine="424" w:firstLineChars="202"/>
        <w:rPr>
          <w:rFonts w:ascii="宋体" w:hAnsi="宋体" w:cs="宋体"/>
          <w:color w:val="auto"/>
          <w:szCs w:val="21"/>
        </w:rPr>
      </w:pPr>
      <w:r>
        <w:rPr>
          <w:rFonts w:hint="eastAsia" w:ascii="宋体" w:hAnsi="宋体" w:cs="宋体"/>
          <w:color w:val="auto"/>
          <w:szCs w:val="21"/>
        </w:rPr>
        <w:t>1.本合同一经签订，甲乙双方不得擅自变更、中止或终止合同。</w:t>
      </w:r>
    </w:p>
    <w:p w14:paraId="45065952">
      <w:pPr>
        <w:adjustRightInd w:val="0"/>
        <w:snapToGrid w:val="0"/>
        <w:spacing w:line="360" w:lineRule="exact"/>
        <w:ind w:firstLine="424" w:firstLineChars="202"/>
        <w:rPr>
          <w:rFonts w:ascii="宋体" w:hAnsi="宋体" w:cs="宋体"/>
          <w:color w:val="auto"/>
          <w:szCs w:val="21"/>
        </w:rPr>
      </w:pPr>
      <w:r>
        <w:rPr>
          <w:rFonts w:hint="eastAsia" w:ascii="宋体" w:hAnsi="宋体" w:cs="宋体"/>
          <w:color w:val="auto"/>
          <w:szCs w:val="21"/>
        </w:rPr>
        <w:t>2.除发生法律规定的不能预见、不能避免并不能克服的客观情况外，甲乙双方不得放弃或拒绝履行合同。</w:t>
      </w:r>
    </w:p>
    <w:p w14:paraId="6D72473A">
      <w:pPr>
        <w:adjustRightInd w:val="0"/>
        <w:snapToGrid w:val="0"/>
        <w:spacing w:line="360" w:lineRule="exact"/>
        <w:ind w:firstLine="426" w:firstLineChars="202"/>
        <w:rPr>
          <w:rFonts w:ascii="宋体" w:hAnsi="宋体" w:cs="宋体"/>
          <w:b/>
          <w:color w:val="auto"/>
          <w:szCs w:val="21"/>
        </w:rPr>
      </w:pPr>
      <w:r>
        <w:rPr>
          <w:rFonts w:hint="eastAsia" w:ascii="宋体" w:hAnsi="宋体" w:cs="宋体"/>
          <w:b/>
          <w:color w:val="auto"/>
          <w:szCs w:val="21"/>
        </w:rPr>
        <w:t>第八条 合同的转让</w:t>
      </w:r>
    </w:p>
    <w:p w14:paraId="303FBD23">
      <w:pPr>
        <w:adjustRightInd w:val="0"/>
        <w:snapToGrid w:val="0"/>
        <w:spacing w:line="360" w:lineRule="exact"/>
        <w:ind w:firstLine="424" w:firstLineChars="202"/>
        <w:rPr>
          <w:rFonts w:ascii="宋体" w:hAnsi="宋体" w:cs="宋体"/>
          <w:color w:val="auto"/>
          <w:szCs w:val="21"/>
        </w:rPr>
      </w:pPr>
      <w:r>
        <w:rPr>
          <w:rFonts w:hint="eastAsia" w:ascii="宋体" w:hAnsi="宋体" w:cs="宋体"/>
          <w:color w:val="auto"/>
          <w:szCs w:val="21"/>
        </w:rPr>
        <w:t>乙方不得擅自部分或全部转让其应履行的合同义务。</w:t>
      </w:r>
    </w:p>
    <w:p w14:paraId="79AFFE4B">
      <w:pPr>
        <w:adjustRightInd w:val="0"/>
        <w:snapToGrid w:val="0"/>
        <w:spacing w:line="360" w:lineRule="exact"/>
        <w:ind w:firstLine="426" w:firstLineChars="202"/>
        <w:rPr>
          <w:rFonts w:ascii="宋体" w:hAnsi="宋体" w:cs="宋体"/>
          <w:b/>
          <w:color w:val="auto"/>
          <w:szCs w:val="21"/>
        </w:rPr>
      </w:pPr>
      <w:r>
        <w:rPr>
          <w:rFonts w:hint="eastAsia" w:ascii="宋体" w:hAnsi="宋体" w:cs="宋体"/>
          <w:b/>
          <w:color w:val="auto"/>
          <w:szCs w:val="21"/>
        </w:rPr>
        <w:t>第九条 不可抗力</w:t>
      </w:r>
    </w:p>
    <w:p w14:paraId="6B84A599">
      <w:pPr>
        <w:adjustRightInd w:val="0"/>
        <w:snapToGrid w:val="0"/>
        <w:spacing w:line="360" w:lineRule="exact"/>
        <w:ind w:firstLine="424" w:firstLineChars="202"/>
        <w:rPr>
          <w:rFonts w:ascii="宋体" w:hAnsi="宋体" w:cs="宋体"/>
          <w:color w:val="auto"/>
          <w:szCs w:val="21"/>
        </w:rPr>
      </w:pPr>
      <w:r>
        <w:rPr>
          <w:rFonts w:hint="eastAsia" w:ascii="宋体" w:hAnsi="宋体" w:cs="宋体"/>
          <w:color w:val="auto"/>
          <w:szCs w:val="21"/>
        </w:rPr>
        <w:t>甲、乙方中任何一方，因不可抗力不能按时或完全履行合同的，应及时通知对方，并在</w:t>
      </w:r>
      <w:r>
        <w:rPr>
          <w:rFonts w:hint="eastAsia" w:ascii="宋体" w:hAnsi="宋体" w:cs="宋体"/>
          <w:color w:val="auto"/>
          <w:szCs w:val="21"/>
          <w:u w:val="single"/>
        </w:rPr>
        <w:t xml:space="preserve">   </w:t>
      </w:r>
      <w:r>
        <w:rPr>
          <w:rFonts w:hint="eastAsia" w:ascii="宋体" w:hAnsi="宋体" w:cs="宋体"/>
          <w:color w:val="auto"/>
          <w:szCs w:val="21"/>
        </w:rPr>
        <w:t>5日内提供相应证明。未履行完合同部分是否继续履行、如何履行等问题，可由双方初步协商，并向主管部门报告。确定为不可抗力原因造成的损失，免予承担责任。</w:t>
      </w:r>
    </w:p>
    <w:p w14:paraId="3417650F">
      <w:pPr>
        <w:adjustRightInd w:val="0"/>
        <w:snapToGrid w:val="0"/>
        <w:spacing w:line="360" w:lineRule="exact"/>
        <w:ind w:firstLine="426" w:firstLineChars="202"/>
        <w:rPr>
          <w:rFonts w:ascii="宋体" w:hAnsi="宋体" w:cs="宋体"/>
          <w:b/>
          <w:color w:val="auto"/>
          <w:szCs w:val="21"/>
        </w:rPr>
      </w:pPr>
      <w:r>
        <w:rPr>
          <w:rFonts w:hint="eastAsia" w:ascii="宋体" w:hAnsi="宋体" w:cs="宋体"/>
          <w:b/>
          <w:color w:val="auto"/>
          <w:szCs w:val="21"/>
        </w:rPr>
        <w:t>第十条 争议的解决</w:t>
      </w:r>
    </w:p>
    <w:p w14:paraId="38B360A5">
      <w:pPr>
        <w:adjustRightInd w:val="0"/>
        <w:snapToGrid w:val="0"/>
        <w:spacing w:line="360" w:lineRule="exact"/>
        <w:ind w:firstLine="424" w:firstLineChars="202"/>
        <w:rPr>
          <w:rFonts w:ascii="宋体" w:hAnsi="宋体" w:cs="宋体"/>
          <w:color w:val="auto"/>
          <w:szCs w:val="21"/>
        </w:rPr>
      </w:pPr>
      <w:r>
        <w:rPr>
          <w:rFonts w:hint="eastAsia" w:ascii="宋体" w:hAnsi="宋体" w:cs="宋体"/>
          <w:color w:val="auto"/>
          <w:szCs w:val="21"/>
        </w:rPr>
        <w:t>1.因履行本合同引起的或与本合同有关的争议，甲、乙双方应首先通过友好协商解决，如果协商不能解决争议，则采取以下第（ ）种方式解决争议：</w:t>
      </w:r>
    </w:p>
    <w:p w14:paraId="6CDD8751">
      <w:pPr>
        <w:adjustRightInd w:val="0"/>
        <w:snapToGrid w:val="0"/>
        <w:spacing w:line="360" w:lineRule="exact"/>
        <w:ind w:firstLine="424" w:firstLineChars="202"/>
        <w:rPr>
          <w:rFonts w:ascii="宋体" w:hAnsi="宋体" w:cs="宋体"/>
          <w:color w:val="auto"/>
          <w:szCs w:val="21"/>
        </w:rPr>
      </w:pPr>
      <w:r>
        <w:rPr>
          <w:rFonts w:hint="eastAsia" w:ascii="宋体" w:hAnsi="宋体" w:cs="宋体"/>
          <w:color w:val="auto"/>
          <w:szCs w:val="21"/>
        </w:rPr>
        <w:t>（1）向甲方所在地人民法院提起诉讼；</w:t>
      </w:r>
    </w:p>
    <w:p w14:paraId="0EFC515D">
      <w:pPr>
        <w:adjustRightInd w:val="0"/>
        <w:snapToGrid w:val="0"/>
        <w:spacing w:line="360" w:lineRule="exact"/>
        <w:ind w:firstLine="424" w:firstLineChars="202"/>
        <w:rPr>
          <w:rFonts w:ascii="宋体" w:hAnsi="宋体" w:cs="宋体"/>
          <w:color w:val="auto"/>
          <w:szCs w:val="21"/>
        </w:rPr>
      </w:pPr>
      <w:r>
        <w:rPr>
          <w:rFonts w:hint="eastAsia" w:ascii="宋体" w:hAnsi="宋体" w:cs="宋体"/>
          <w:color w:val="auto"/>
          <w:szCs w:val="21"/>
        </w:rPr>
        <w:t>（2）向甲方所在地仲裁委员会按其仲裁规则申请仲裁。</w:t>
      </w:r>
    </w:p>
    <w:p w14:paraId="3585F087">
      <w:pPr>
        <w:adjustRightInd w:val="0"/>
        <w:snapToGrid w:val="0"/>
        <w:spacing w:line="360" w:lineRule="exact"/>
        <w:ind w:firstLine="424" w:firstLineChars="202"/>
        <w:rPr>
          <w:rFonts w:ascii="宋体" w:hAnsi="宋体" w:cs="宋体"/>
          <w:color w:val="auto"/>
          <w:szCs w:val="21"/>
        </w:rPr>
      </w:pPr>
      <w:r>
        <w:rPr>
          <w:rFonts w:hint="eastAsia" w:ascii="宋体" w:hAnsi="宋体" w:cs="宋体"/>
          <w:color w:val="auto"/>
          <w:szCs w:val="21"/>
        </w:rPr>
        <w:t>如没有约定，默认采取第2种方式解决争议。</w:t>
      </w:r>
    </w:p>
    <w:p w14:paraId="139CE1E1">
      <w:pPr>
        <w:adjustRightInd w:val="0"/>
        <w:snapToGrid w:val="0"/>
        <w:spacing w:line="360" w:lineRule="exact"/>
        <w:ind w:firstLine="424" w:firstLineChars="202"/>
        <w:rPr>
          <w:rFonts w:ascii="宋体" w:hAnsi="宋体" w:cs="宋体"/>
          <w:color w:val="auto"/>
          <w:szCs w:val="21"/>
        </w:rPr>
      </w:pPr>
      <w:r>
        <w:rPr>
          <w:rFonts w:hint="eastAsia" w:ascii="宋体" w:hAnsi="宋体" w:cs="宋体"/>
          <w:color w:val="auto"/>
          <w:szCs w:val="21"/>
        </w:rPr>
        <w:t>2.在法院审理和仲裁期间，除有争议部分外，本合同其他部分应继续履行。</w:t>
      </w:r>
    </w:p>
    <w:p w14:paraId="5D952A97">
      <w:pPr>
        <w:adjustRightInd w:val="0"/>
        <w:snapToGrid w:val="0"/>
        <w:spacing w:line="360" w:lineRule="exact"/>
        <w:ind w:firstLine="426" w:firstLineChars="202"/>
        <w:rPr>
          <w:rFonts w:ascii="宋体" w:hAnsi="宋体" w:cs="宋体"/>
          <w:b/>
          <w:color w:val="auto"/>
          <w:szCs w:val="21"/>
        </w:rPr>
      </w:pPr>
      <w:r>
        <w:rPr>
          <w:rFonts w:hint="eastAsia" w:ascii="宋体" w:hAnsi="宋体" w:cs="宋体"/>
          <w:b/>
          <w:color w:val="auto"/>
          <w:szCs w:val="21"/>
        </w:rPr>
        <w:t xml:space="preserve">第十一条 诚实信用 </w:t>
      </w:r>
    </w:p>
    <w:p w14:paraId="36FE653E">
      <w:pPr>
        <w:adjustRightInd w:val="0"/>
        <w:snapToGrid w:val="0"/>
        <w:spacing w:line="360" w:lineRule="exact"/>
        <w:ind w:firstLine="424" w:firstLineChars="202"/>
        <w:rPr>
          <w:rFonts w:ascii="宋体" w:hAnsi="宋体" w:cs="宋体"/>
          <w:color w:val="auto"/>
          <w:szCs w:val="21"/>
        </w:rPr>
      </w:pPr>
      <w:r>
        <w:rPr>
          <w:rFonts w:hint="eastAsia" w:ascii="宋体" w:hAnsi="宋体" w:cs="宋体"/>
          <w:color w:val="auto"/>
          <w:szCs w:val="21"/>
        </w:rPr>
        <w:t>乙方应诚实信用，严格按照询价通知书要求和询价承诺履行合同，不向甲方进行商业贿赂或者提供不正当利益。</w:t>
      </w:r>
    </w:p>
    <w:p w14:paraId="1E9CA458">
      <w:pPr>
        <w:adjustRightInd w:val="0"/>
        <w:snapToGrid w:val="0"/>
        <w:spacing w:line="360" w:lineRule="exact"/>
        <w:ind w:firstLine="426" w:firstLineChars="202"/>
        <w:rPr>
          <w:rFonts w:ascii="宋体" w:hAnsi="宋体" w:cs="宋体"/>
          <w:b/>
          <w:color w:val="auto"/>
          <w:szCs w:val="21"/>
        </w:rPr>
      </w:pPr>
      <w:r>
        <w:rPr>
          <w:rFonts w:hint="eastAsia" w:ascii="宋体" w:hAnsi="宋体" w:cs="宋体"/>
          <w:b/>
          <w:color w:val="auto"/>
          <w:szCs w:val="21"/>
        </w:rPr>
        <w:t>第十二条 合同生效及其他</w:t>
      </w:r>
    </w:p>
    <w:p w14:paraId="775D3C37">
      <w:pPr>
        <w:adjustRightInd w:val="0"/>
        <w:snapToGrid w:val="0"/>
        <w:spacing w:line="360" w:lineRule="exact"/>
        <w:ind w:firstLine="424" w:firstLineChars="202"/>
        <w:rPr>
          <w:rFonts w:ascii="宋体" w:hAnsi="宋体" w:cs="宋体"/>
          <w:color w:val="auto"/>
          <w:szCs w:val="21"/>
        </w:rPr>
      </w:pPr>
      <w:r>
        <w:rPr>
          <w:rFonts w:hint="eastAsia" w:ascii="宋体" w:hAnsi="宋体" w:cs="宋体"/>
          <w:color w:val="auto"/>
          <w:szCs w:val="21"/>
        </w:rPr>
        <w:t>1.本合同自经甲乙双方授权代表签订并加盖公章后，自签订之日起生效。见证方仅对甲乙双方签订采购合同的事实进行见证，不代表任何承诺或保证，该合同的履行等相关情况均与见证方无任何关系。</w:t>
      </w:r>
    </w:p>
    <w:p w14:paraId="7A28083F">
      <w:pPr>
        <w:adjustRightInd w:val="0"/>
        <w:snapToGrid w:val="0"/>
        <w:spacing w:line="360" w:lineRule="exact"/>
        <w:ind w:firstLine="424" w:firstLineChars="202"/>
        <w:rPr>
          <w:rFonts w:ascii="宋体" w:hAnsi="宋体" w:cs="宋体"/>
          <w:color w:val="auto"/>
          <w:szCs w:val="21"/>
        </w:rPr>
      </w:pPr>
      <w:r>
        <w:rPr>
          <w:rFonts w:hint="eastAsia" w:ascii="宋体" w:hAnsi="宋体" w:cs="宋体"/>
          <w:color w:val="auto"/>
          <w:szCs w:val="21"/>
        </w:rPr>
        <w:t>2.本合同一式伍份，甲乙双方各执贰份，代理机构执壹份存档。</w:t>
      </w:r>
    </w:p>
    <w:p w14:paraId="1B1B87C9">
      <w:pPr>
        <w:adjustRightInd w:val="0"/>
        <w:snapToGrid w:val="0"/>
        <w:spacing w:line="360" w:lineRule="exact"/>
        <w:ind w:firstLine="424" w:firstLineChars="202"/>
        <w:rPr>
          <w:rFonts w:ascii="宋体" w:hAnsi="宋体" w:cs="宋体"/>
          <w:color w:val="auto"/>
          <w:szCs w:val="21"/>
        </w:rPr>
      </w:pPr>
      <w:r>
        <w:rPr>
          <w:rFonts w:hint="eastAsia" w:ascii="宋体" w:hAnsi="宋体" w:cs="宋体"/>
          <w:color w:val="auto"/>
          <w:szCs w:val="21"/>
        </w:rPr>
        <w:t>3.本合同应按照中华人民共和国的现行法律进行解释。</w:t>
      </w:r>
    </w:p>
    <w:p w14:paraId="62C16498">
      <w:pPr>
        <w:adjustRightInd w:val="0"/>
        <w:snapToGrid w:val="0"/>
        <w:spacing w:line="400" w:lineRule="exact"/>
        <w:ind w:firstLine="422" w:firstLineChars="200"/>
        <w:jc w:val="left"/>
        <w:rPr>
          <w:rFonts w:hint="eastAsia" w:ascii="宋体" w:hAnsi="宋体" w:cs="宋体"/>
          <w:b/>
          <w:bCs/>
          <w:color w:val="auto"/>
          <w:szCs w:val="21"/>
          <w:lang w:val="en-US" w:eastAsia="zh-CN"/>
        </w:rPr>
      </w:pPr>
    </w:p>
    <w:p w14:paraId="27314D22">
      <w:pPr>
        <w:adjustRightInd w:val="0"/>
        <w:snapToGrid w:val="0"/>
        <w:spacing w:line="400" w:lineRule="exact"/>
        <w:ind w:firstLine="422" w:firstLineChars="200"/>
        <w:jc w:val="left"/>
        <w:rPr>
          <w:rFonts w:hint="eastAsia" w:ascii="宋体" w:hAnsi="宋体" w:eastAsia="宋体" w:cs="宋体"/>
          <w:b/>
          <w:bCs/>
          <w:color w:val="auto"/>
          <w:szCs w:val="21"/>
          <w:lang w:val="en-US" w:eastAsia="zh-CN"/>
        </w:rPr>
      </w:pPr>
      <w:r>
        <w:rPr>
          <w:rFonts w:hint="eastAsia" w:ascii="宋体" w:hAnsi="宋体" w:cs="宋体"/>
          <w:b/>
          <w:bCs/>
          <w:color w:val="auto"/>
          <w:szCs w:val="21"/>
          <w:lang w:val="en-US" w:eastAsia="zh-CN"/>
        </w:rPr>
        <w:t>附件：消防维保服务季度考核表</w:t>
      </w:r>
    </w:p>
    <w:p w14:paraId="080575D3">
      <w:pPr>
        <w:rPr>
          <w:rFonts w:hint="eastAsia" w:ascii="宋体" w:hAnsi="宋体" w:cs="宋体"/>
          <w:b/>
          <w:bCs/>
          <w:color w:val="auto"/>
          <w:szCs w:val="21"/>
        </w:rPr>
      </w:pPr>
      <w:r>
        <w:rPr>
          <w:rFonts w:hint="eastAsia" w:ascii="宋体" w:hAnsi="宋体" w:cs="宋体"/>
          <w:b/>
          <w:bCs/>
          <w:color w:val="auto"/>
          <w:szCs w:val="21"/>
        </w:rPr>
        <w:br w:type="page"/>
      </w:r>
    </w:p>
    <w:p w14:paraId="570CB520">
      <w:pPr>
        <w:adjustRightInd w:val="0"/>
        <w:snapToGrid w:val="0"/>
        <w:spacing w:line="400" w:lineRule="exact"/>
        <w:jc w:val="left"/>
        <w:rPr>
          <w:rFonts w:ascii="宋体" w:hAnsi="宋体" w:cs="宋体"/>
          <w:color w:val="auto"/>
          <w:szCs w:val="21"/>
        </w:rPr>
      </w:pPr>
      <w:r>
        <w:rPr>
          <w:rFonts w:hint="eastAsia" w:ascii="宋体" w:hAnsi="宋体" w:cs="宋体"/>
          <w:b/>
          <w:bCs/>
          <w:color w:val="auto"/>
          <w:szCs w:val="21"/>
        </w:rPr>
        <w:t>甲    方</w:t>
      </w:r>
      <w:r>
        <w:rPr>
          <w:rFonts w:hint="eastAsia" w:ascii="宋体" w:hAnsi="宋体" w:cs="宋体"/>
          <w:color w:val="auto"/>
          <w:szCs w:val="21"/>
        </w:rPr>
        <w:t xml:space="preserve">：                               </w:t>
      </w:r>
      <w:r>
        <w:rPr>
          <w:rFonts w:hint="eastAsia" w:ascii="宋体" w:hAnsi="宋体" w:cs="宋体"/>
          <w:b/>
          <w:bCs/>
          <w:color w:val="auto"/>
          <w:szCs w:val="21"/>
        </w:rPr>
        <w:t>乙    方</w:t>
      </w:r>
      <w:r>
        <w:rPr>
          <w:rFonts w:hint="eastAsia" w:ascii="宋体" w:hAnsi="宋体" w:cs="宋体"/>
          <w:color w:val="auto"/>
          <w:szCs w:val="21"/>
        </w:rPr>
        <w:t>：</w:t>
      </w:r>
    </w:p>
    <w:p w14:paraId="79858015">
      <w:pPr>
        <w:adjustRightInd w:val="0"/>
        <w:snapToGrid w:val="0"/>
        <w:spacing w:line="400" w:lineRule="exact"/>
        <w:rPr>
          <w:rFonts w:ascii="宋体" w:hAnsi="宋体" w:cs="宋体"/>
          <w:color w:val="auto"/>
          <w:szCs w:val="21"/>
          <w:u w:val="single"/>
        </w:rPr>
      </w:pPr>
      <w:r>
        <w:rPr>
          <w:rFonts w:hint="eastAsia" w:ascii="宋体" w:hAnsi="宋体" w:cs="宋体"/>
          <w:color w:val="auto"/>
          <w:szCs w:val="21"/>
        </w:rPr>
        <w:t>单位名称（章）：                          单位名称（章）：</w:t>
      </w:r>
    </w:p>
    <w:p w14:paraId="381E0F79">
      <w:pPr>
        <w:adjustRightInd w:val="0"/>
        <w:snapToGrid w:val="0"/>
        <w:spacing w:line="400" w:lineRule="exact"/>
        <w:rPr>
          <w:rFonts w:ascii="宋体" w:hAnsi="宋体" w:cs="宋体"/>
          <w:color w:val="auto"/>
          <w:szCs w:val="21"/>
          <w:u w:val="single"/>
        </w:rPr>
      </w:pPr>
      <w:r>
        <w:rPr>
          <w:rFonts w:hint="eastAsia" w:ascii="宋体" w:hAnsi="宋体" w:cs="宋体"/>
          <w:color w:val="auto"/>
          <w:szCs w:val="21"/>
        </w:rPr>
        <w:t>单位地址：                               单位地址：</w:t>
      </w:r>
    </w:p>
    <w:p w14:paraId="1432B4CD">
      <w:pPr>
        <w:adjustRightInd w:val="0"/>
        <w:snapToGrid w:val="0"/>
        <w:spacing w:line="400" w:lineRule="exact"/>
        <w:rPr>
          <w:rFonts w:ascii="宋体" w:hAnsi="宋体" w:cs="宋体"/>
          <w:color w:val="auto"/>
          <w:szCs w:val="21"/>
        </w:rPr>
      </w:pPr>
      <w:r>
        <w:rPr>
          <w:rFonts w:hint="eastAsia" w:ascii="宋体" w:hAnsi="宋体" w:cs="宋体"/>
          <w:color w:val="auto"/>
          <w:szCs w:val="21"/>
        </w:rPr>
        <w:t xml:space="preserve">法定代表人：       委托代理人：          法定代表人：     委托代理人：                            </w:t>
      </w:r>
    </w:p>
    <w:p w14:paraId="45B6E941">
      <w:pPr>
        <w:adjustRightInd w:val="0"/>
        <w:snapToGrid w:val="0"/>
        <w:spacing w:line="400" w:lineRule="exact"/>
        <w:rPr>
          <w:rFonts w:ascii="宋体" w:hAnsi="宋体" w:cs="宋体"/>
          <w:color w:val="auto"/>
          <w:szCs w:val="21"/>
        </w:rPr>
      </w:pPr>
      <w:r>
        <w:rPr>
          <w:rFonts w:hint="eastAsia" w:ascii="宋体" w:hAnsi="宋体" w:cs="宋体"/>
          <w:color w:val="auto"/>
          <w:szCs w:val="21"/>
        </w:rPr>
        <w:t>电话：                                   电话：            传真：</w:t>
      </w:r>
    </w:p>
    <w:p w14:paraId="2B280E80">
      <w:pPr>
        <w:adjustRightInd w:val="0"/>
        <w:snapToGrid w:val="0"/>
        <w:spacing w:line="400" w:lineRule="exact"/>
        <w:rPr>
          <w:rFonts w:ascii="宋体" w:hAnsi="宋体" w:cs="宋体"/>
          <w:color w:val="auto"/>
          <w:szCs w:val="21"/>
        </w:rPr>
      </w:pPr>
      <w:r>
        <w:rPr>
          <w:rFonts w:hint="eastAsia" w:ascii="宋体" w:hAnsi="宋体" w:cs="宋体"/>
          <w:color w:val="auto"/>
          <w:szCs w:val="21"/>
        </w:rPr>
        <w:t xml:space="preserve">传真：                                   开户银行：        帐号：                                                                                 </w:t>
      </w:r>
    </w:p>
    <w:p w14:paraId="4ED06E6B">
      <w:pPr>
        <w:adjustRightInd w:val="0"/>
        <w:snapToGrid w:val="0"/>
        <w:spacing w:line="400" w:lineRule="exact"/>
        <w:rPr>
          <w:rFonts w:ascii="宋体" w:hAnsi="宋体" w:cs="宋体"/>
          <w:b/>
          <w:bCs/>
          <w:color w:val="auto"/>
          <w:szCs w:val="21"/>
        </w:rPr>
      </w:pPr>
    </w:p>
    <w:p w14:paraId="151C2139">
      <w:pPr>
        <w:adjustRightInd w:val="0"/>
        <w:snapToGrid w:val="0"/>
        <w:spacing w:line="400" w:lineRule="exact"/>
        <w:rPr>
          <w:rFonts w:ascii="宋体" w:hAnsi="宋体" w:cs="宋体"/>
          <w:color w:val="auto"/>
          <w:szCs w:val="21"/>
        </w:rPr>
      </w:pPr>
      <w:r>
        <w:rPr>
          <w:rFonts w:hint="eastAsia" w:ascii="宋体" w:hAnsi="宋体" w:cs="宋体"/>
          <w:b/>
          <w:bCs/>
          <w:color w:val="auto"/>
          <w:szCs w:val="21"/>
        </w:rPr>
        <w:t>见证方</w:t>
      </w:r>
      <w:r>
        <w:rPr>
          <w:rFonts w:hint="eastAsia" w:ascii="宋体" w:hAnsi="宋体" w:cs="宋体"/>
          <w:color w:val="auto"/>
          <w:szCs w:val="21"/>
        </w:rPr>
        <w:t>：</w:t>
      </w:r>
    </w:p>
    <w:p w14:paraId="3E1831BE">
      <w:pPr>
        <w:tabs>
          <w:tab w:val="left" w:pos="3780"/>
        </w:tabs>
        <w:adjustRightInd w:val="0"/>
        <w:snapToGrid w:val="0"/>
        <w:spacing w:line="400" w:lineRule="exact"/>
        <w:rPr>
          <w:rFonts w:ascii="宋体" w:hAnsi="宋体" w:cs="宋体"/>
          <w:color w:val="auto"/>
          <w:szCs w:val="21"/>
        </w:rPr>
      </w:pPr>
      <w:r>
        <w:rPr>
          <w:rFonts w:hint="eastAsia" w:ascii="宋体" w:hAnsi="宋体" w:cs="宋体"/>
          <w:color w:val="auto"/>
          <w:szCs w:val="21"/>
        </w:rPr>
        <w:t>代理机构（章）：</w:t>
      </w:r>
      <w:r>
        <w:rPr>
          <w:rFonts w:hint="eastAsia" w:ascii="宋体" w:hAnsi="宋体" w:cs="宋体"/>
          <w:b/>
          <w:bCs/>
          <w:color w:val="auto"/>
          <w:szCs w:val="21"/>
          <w:u w:val="single"/>
        </w:rPr>
        <w:t>常州市城投建设工程招标有限公司</w:t>
      </w:r>
    </w:p>
    <w:p w14:paraId="12A61A39">
      <w:pPr>
        <w:adjustRightInd w:val="0"/>
        <w:snapToGrid w:val="0"/>
        <w:spacing w:line="400" w:lineRule="exact"/>
        <w:rPr>
          <w:rFonts w:ascii="宋体" w:hAnsi="宋体" w:cs="宋体"/>
          <w:color w:val="auto"/>
          <w:szCs w:val="21"/>
        </w:rPr>
      </w:pPr>
      <w:r>
        <w:rPr>
          <w:rFonts w:hint="eastAsia" w:ascii="宋体" w:hAnsi="宋体" w:cs="宋体"/>
          <w:color w:val="auto"/>
          <w:szCs w:val="21"/>
        </w:rPr>
        <w:t xml:space="preserve">                 </w:t>
      </w:r>
    </w:p>
    <w:p w14:paraId="1B26C581">
      <w:pPr>
        <w:adjustRightInd w:val="0"/>
        <w:snapToGrid w:val="0"/>
        <w:spacing w:line="400" w:lineRule="exact"/>
        <w:rPr>
          <w:rFonts w:ascii="宋体" w:hAnsi="宋体" w:cs="宋体"/>
          <w:color w:val="auto"/>
          <w:szCs w:val="21"/>
        </w:rPr>
      </w:pPr>
      <w:r>
        <w:rPr>
          <w:rFonts w:hint="eastAsia" w:ascii="宋体" w:hAnsi="宋体" w:cs="宋体"/>
          <w:color w:val="auto"/>
          <w:szCs w:val="21"/>
        </w:rPr>
        <w:t>经办人：                               电  话：</w:t>
      </w:r>
    </w:p>
    <w:p w14:paraId="65C7B4C4">
      <w:pPr>
        <w:jc w:val="left"/>
        <w:rPr>
          <w:rFonts w:hint="eastAsia" w:ascii="宋体" w:hAnsi="宋体" w:cs="宋体"/>
          <w:b/>
          <w:color w:val="auto"/>
          <w:kern w:val="0"/>
          <w:sz w:val="21"/>
          <w:szCs w:val="21"/>
        </w:rPr>
      </w:pPr>
      <w:r>
        <w:rPr>
          <w:rFonts w:hint="eastAsia" w:ascii="宋体" w:hAnsi="宋体" w:cs="宋体"/>
          <w:b/>
          <w:color w:val="auto"/>
          <w:kern w:val="0"/>
          <w:sz w:val="21"/>
          <w:szCs w:val="21"/>
        </w:rPr>
        <w:br w:type="page"/>
      </w:r>
      <w:r>
        <w:rPr>
          <w:rFonts w:hint="eastAsia" w:ascii="宋体" w:hAnsi="宋体" w:cs="宋体"/>
          <w:b/>
          <w:color w:val="auto"/>
          <w:kern w:val="0"/>
          <w:sz w:val="28"/>
          <w:szCs w:val="28"/>
          <w:lang w:val="en-US" w:eastAsia="zh-CN"/>
        </w:rPr>
        <w:t>合同附件：</w:t>
      </w:r>
      <w:r>
        <w:rPr>
          <w:rFonts w:hint="eastAsia" w:ascii="宋体" w:hAnsi="宋体" w:cs="宋体"/>
          <w:b/>
          <w:color w:val="auto"/>
          <w:kern w:val="0"/>
          <w:sz w:val="28"/>
          <w:szCs w:val="28"/>
        </w:rPr>
        <w:t>消防维保服务季度考核表</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82"/>
        <w:gridCol w:w="1075"/>
        <w:gridCol w:w="1874"/>
        <w:gridCol w:w="1966"/>
        <w:gridCol w:w="983"/>
        <w:gridCol w:w="1640"/>
      </w:tblGrid>
      <w:tr w14:paraId="2F54F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73A558">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维保单位名称</w:t>
            </w:r>
          </w:p>
        </w:tc>
        <w:tc>
          <w:tcPr>
            <w:tcW w:w="3792"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22F48976">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rPr>
            </w:pPr>
          </w:p>
        </w:tc>
      </w:tr>
      <w:tr w14:paraId="7F375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30C7B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考核周期</w:t>
            </w:r>
          </w:p>
        </w:tc>
        <w:tc>
          <w:tcPr>
            <w:tcW w:w="3792"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73DEFC4C">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年第   季度</w:t>
            </w:r>
          </w:p>
        </w:tc>
      </w:tr>
      <w:tr w14:paraId="33987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20AD00">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考核日期</w:t>
            </w:r>
          </w:p>
        </w:tc>
        <w:tc>
          <w:tcPr>
            <w:tcW w:w="1100" w:type="pct"/>
            <w:tcBorders>
              <w:top w:val="single" w:color="auto" w:sz="4" w:space="0"/>
              <w:left w:val="single" w:color="auto" w:sz="4" w:space="0"/>
              <w:bottom w:val="single" w:color="auto" w:sz="4" w:space="0"/>
              <w:right w:val="single" w:color="auto" w:sz="4" w:space="0"/>
            </w:tcBorders>
            <w:shd w:val="clear" w:color="auto" w:fill="auto"/>
            <w:vAlign w:val="center"/>
          </w:tcPr>
          <w:p w14:paraId="5F6306DE">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rPr>
            </w:pPr>
          </w:p>
        </w:tc>
        <w:tc>
          <w:tcPr>
            <w:tcW w:w="1154" w:type="pct"/>
            <w:tcBorders>
              <w:top w:val="single" w:color="auto" w:sz="4" w:space="0"/>
              <w:left w:val="single" w:color="auto" w:sz="4" w:space="0"/>
              <w:bottom w:val="single" w:color="auto" w:sz="4" w:space="0"/>
              <w:right w:val="single" w:color="auto" w:sz="4" w:space="0"/>
            </w:tcBorders>
            <w:shd w:val="clear" w:color="auto" w:fill="auto"/>
            <w:vAlign w:val="center"/>
          </w:tcPr>
          <w:p w14:paraId="7BB6A516">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考核人</w:t>
            </w:r>
          </w:p>
        </w:tc>
        <w:tc>
          <w:tcPr>
            <w:tcW w:w="153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68507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rPr>
            </w:pPr>
          </w:p>
        </w:tc>
      </w:tr>
      <w:tr w14:paraId="65686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D39C5E">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考核维度</w:t>
            </w:r>
          </w:p>
        </w:tc>
        <w:tc>
          <w:tcPr>
            <w:tcW w:w="1100" w:type="pct"/>
            <w:tcBorders>
              <w:top w:val="single" w:color="auto" w:sz="4" w:space="0"/>
              <w:left w:val="single" w:color="auto" w:sz="4" w:space="0"/>
              <w:bottom w:val="single" w:color="auto" w:sz="4" w:space="0"/>
              <w:right w:val="single" w:color="auto" w:sz="4" w:space="0"/>
            </w:tcBorders>
            <w:shd w:val="clear" w:color="auto" w:fill="auto"/>
            <w:vAlign w:val="center"/>
          </w:tcPr>
          <w:p w14:paraId="4725170E">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检查内容</w:t>
            </w:r>
          </w:p>
        </w:tc>
        <w:tc>
          <w:tcPr>
            <w:tcW w:w="1154" w:type="pct"/>
            <w:tcBorders>
              <w:top w:val="single" w:color="auto" w:sz="4" w:space="0"/>
              <w:left w:val="single" w:color="auto" w:sz="4" w:space="0"/>
              <w:bottom w:val="single" w:color="auto" w:sz="4" w:space="0"/>
              <w:right w:val="single" w:color="auto" w:sz="4" w:space="0"/>
            </w:tcBorders>
            <w:shd w:val="clear" w:color="auto" w:fill="auto"/>
            <w:vAlign w:val="center"/>
          </w:tcPr>
          <w:p w14:paraId="4AD8ED6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评分标准</w:t>
            </w:r>
          </w:p>
        </w:tc>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14:paraId="66B0AA9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得分</w:t>
            </w:r>
          </w:p>
        </w:tc>
        <w:tc>
          <w:tcPr>
            <w:tcW w:w="959" w:type="pct"/>
            <w:tcBorders>
              <w:top w:val="single" w:color="auto" w:sz="4" w:space="0"/>
              <w:left w:val="single" w:color="auto" w:sz="4" w:space="0"/>
              <w:bottom w:val="single" w:color="auto" w:sz="4" w:space="0"/>
              <w:right w:val="single" w:color="auto" w:sz="4" w:space="0"/>
            </w:tcBorders>
            <w:shd w:val="clear" w:color="auto" w:fill="auto"/>
            <w:vAlign w:val="center"/>
          </w:tcPr>
          <w:p w14:paraId="38E6026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备注</w:t>
            </w:r>
          </w:p>
        </w:tc>
      </w:tr>
      <w:tr w14:paraId="4C1FF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pct"/>
            <w:vMerge w:val="restart"/>
            <w:tcBorders>
              <w:top w:val="nil"/>
              <w:left w:val="single" w:color="auto" w:sz="4" w:space="0"/>
              <w:bottom w:val="single" w:color="auto" w:sz="4" w:space="0"/>
              <w:right w:val="single" w:color="auto" w:sz="4" w:space="0"/>
            </w:tcBorders>
            <w:shd w:val="clear" w:color="auto" w:fill="auto"/>
            <w:vAlign w:val="center"/>
          </w:tcPr>
          <w:p w14:paraId="74DE3D54">
            <w:pPr>
              <w:keepNext w:val="0"/>
              <w:keepLines w:val="0"/>
              <w:widowControl w:val="0"/>
              <w:suppressLineNumbers w:val="0"/>
              <w:spacing w:before="0" w:beforeAutospacing="0" w:after="0" w:afterAutospacing="0"/>
              <w:ind w:left="0" w:leftChars="0" w:right="0" w:firstLine="0" w:firstLineChars="0"/>
              <w:jc w:val="center"/>
              <w:rPr>
                <w:rFonts w:hint="eastAsia" w:ascii="宋体" w:hAnsi="宋体" w:eastAsia="宋体" w:cs="宋体"/>
                <w:b/>
                <w:bCs w:val="0"/>
                <w:color w:val="auto"/>
                <w:kern w:val="2"/>
                <w:sz w:val="21"/>
                <w:szCs w:val="21"/>
              </w:rPr>
            </w:pPr>
            <w:r>
              <w:rPr>
                <w:rFonts w:hint="eastAsia" w:ascii="宋体" w:hAnsi="宋体" w:eastAsia="宋体" w:cs="宋体"/>
                <w:b/>
                <w:bCs w:val="0"/>
                <w:color w:val="auto"/>
                <w:kern w:val="2"/>
                <w:sz w:val="21"/>
                <w:szCs w:val="21"/>
                <w:lang w:val="en-US" w:eastAsia="zh-CN" w:bidi="ar"/>
              </w:rPr>
              <w:t>一、维保单位基础管理</w:t>
            </w:r>
          </w:p>
          <w:p w14:paraId="58CE31C1">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rPr>
            </w:pPr>
            <w:r>
              <w:rPr>
                <w:rFonts w:hint="eastAsia" w:ascii="宋体" w:hAnsi="宋体" w:eastAsia="宋体" w:cs="宋体"/>
                <w:b/>
                <w:bCs w:val="0"/>
                <w:color w:val="auto"/>
                <w:kern w:val="2"/>
                <w:sz w:val="21"/>
                <w:szCs w:val="21"/>
                <w:lang w:val="en-US" w:eastAsia="zh-CN" w:bidi="ar"/>
              </w:rPr>
              <w:t>（20分）</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1AAA43E4">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人员资质</w:t>
            </w:r>
          </w:p>
          <w:p w14:paraId="00E4AA5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（5分）</w:t>
            </w:r>
          </w:p>
        </w:tc>
        <w:tc>
          <w:tcPr>
            <w:tcW w:w="1100" w:type="pct"/>
            <w:tcBorders>
              <w:top w:val="single" w:color="auto" w:sz="4" w:space="0"/>
              <w:left w:val="single" w:color="auto" w:sz="4" w:space="0"/>
              <w:bottom w:val="single" w:color="auto" w:sz="4" w:space="0"/>
              <w:right w:val="single" w:color="auto" w:sz="4" w:space="0"/>
            </w:tcBorders>
            <w:shd w:val="clear" w:color="auto" w:fill="auto"/>
            <w:vAlign w:val="top"/>
          </w:tcPr>
          <w:p w14:paraId="65567FB3">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维保人员是否持有效《消防设施操作员证》上岗且不少于两人</w:t>
            </w:r>
          </w:p>
        </w:tc>
        <w:tc>
          <w:tcPr>
            <w:tcW w:w="1154" w:type="pct"/>
            <w:tcBorders>
              <w:top w:val="single" w:color="auto" w:sz="4" w:space="0"/>
              <w:left w:val="single" w:color="auto" w:sz="4" w:space="0"/>
              <w:bottom w:val="single" w:color="auto" w:sz="4" w:space="0"/>
              <w:right w:val="single" w:color="auto" w:sz="4" w:space="0"/>
            </w:tcBorders>
            <w:shd w:val="clear" w:color="auto" w:fill="auto"/>
            <w:vAlign w:val="center"/>
          </w:tcPr>
          <w:p w14:paraId="671420A5">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无证1人扣2分，扣完为止</w:t>
            </w:r>
          </w:p>
        </w:tc>
        <w:tc>
          <w:tcPr>
            <w:tcW w:w="577" w:type="pct"/>
            <w:tcBorders>
              <w:top w:val="single" w:color="auto" w:sz="4" w:space="0"/>
              <w:left w:val="single" w:color="auto" w:sz="4" w:space="0"/>
              <w:bottom w:val="single" w:color="auto" w:sz="4" w:space="0"/>
              <w:right w:val="single" w:color="auto" w:sz="4" w:space="0"/>
            </w:tcBorders>
            <w:shd w:val="clear" w:color="auto" w:fill="auto"/>
            <w:vAlign w:val="top"/>
          </w:tcPr>
          <w:p w14:paraId="5DD99196">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c>
          <w:tcPr>
            <w:tcW w:w="959" w:type="pct"/>
            <w:tcBorders>
              <w:top w:val="single" w:color="auto" w:sz="4" w:space="0"/>
              <w:left w:val="single" w:color="auto" w:sz="4" w:space="0"/>
              <w:bottom w:val="single" w:color="auto" w:sz="4" w:space="0"/>
              <w:right w:val="single" w:color="auto" w:sz="4" w:space="0"/>
            </w:tcBorders>
            <w:shd w:val="clear" w:color="auto" w:fill="auto"/>
            <w:vAlign w:val="top"/>
          </w:tcPr>
          <w:p w14:paraId="118989C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r>
      <w:tr w14:paraId="2E03C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6" w:type="pct"/>
            <w:vMerge w:val="continue"/>
            <w:tcBorders>
              <w:top w:val="nil"/>
              <w:left w:val="single" w:color="auto" w:sz="4" w:space="0"/>
              <w:bottom w:val="single" w:color="auto" w:sz="4" w:space="0"/>
              <w:right w:val="single" w:color="auto" w:sz="4" w:space="0"/>
            </w:tcBorders>
            <w:shd w:val="clear" w:color="auto" w:fill="auto"/>
            <w:vAlign w:val="center"/>
          </w:tcPr>
          <w:p w14:paraId="49E30172">
            <w:pPr>
              <w:keepNext w:val="0"/>
              <w:keepLines w:val="0"/>
              <w:suppressLineNumbers w:val="0"/>
              <w:spacing w:before="0" w:beforeAutospacing="0" w:after="0" w:afterAutospacing="0"/>
              <w:ind w:left="0" w:right="0"/>
              <w:jc w:val="both"/>
              <w:rPr>
                <w:rFonts w:hint="eastAsia" w:ascii="宋体" w:hAnsi="宋体" w:eastAsia="宋体" w:cs="宋体"/>
                <w:color w:val="auto"/>
                <w:sz w:val="21"/>
                <w:szCs w:val="21"/>
              </w:rPr>
            </w:pP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107DE478">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资料管理</w:t>
            </w:r>
          </w:p>
          <w:p w14:paraId="703D2182">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（5分）</w:t>
            </w:r>
          </w:p>
        </w:tc>
        <w:tc>
          <w:tcPr>
            <w:tcW w:w="1100" w:type="pct"/>
            <w:tcBorders>
              <w:top w:val="single" w:color="auto" w:sz="4" w:space="0"/>
              <w:left w:val="single" w:color="auto" w:sz="4" w:space="0"/>
              <w:bottom w:val="single" w:color="auto" w:sz="4" w:space="0"/>
              <w:right w:val="single" w:color="auto" w:sz="4" w:space="0"/>
            </w:tcBorders>
            <w:shd w:val="clear" w:color="auto" w:fill="auto"/>
            <w:vAlign w:val="top"/>
          </w:tcPr>
          <w:p w14:paraId="3295CCD3">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维保记录、台账、报表（含故障处理、测试数据）是否完整规范</w:t>
            </w:r>
          </w:p>
        </w:tc>
        <w:tc>
          <w:tcPr>
            <w:tcW w:w="1154" w:type="pct"/>
            <w:tcBorders>
              <w:top w:val="single" w:color="auto" w:sz="4" w:space="0"/>
              <w:left w:val="single" w:color="auto" w:sz="4" w:space="0"/>
              <w:bottom w:val="single" w:color="auto" w:sz="4" w:space="0"/>
              <w:right w:val="single" w:color="auto" w:sz="4" w:space="0"/>
            </w:tcBorders>
            <w:shd w:val="clear" w:color="auto" w:fill="auto"/>
            <w:vAlign w:val="center"/>
          </w:tcPr>
          <w:p w14:paraId="2770D4CD">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缺失1项扣1分，记录不规范1处扣0.5分</w:t>
            </w:r>
          </w:p>
        </w:tc>
        <w:tc>
          <w:tcPr>
            <w:tcW w:w="577" w:type="pct"/>
            <w:tcBorders>
              <w:top w:val="single" w:color="auto" w:sz="4" w:space="0"/>
              <w:left w:val="single" w:color="auto" w:sz="4" w:space="0"/>
              <w:bottom w:val="single" w:color="auto" w:sz="4" w:space="0"/>
              <w:right w:val="single" w:color="auto" w:sz="4" w:space="0"/>
            </w:tcBorders>
            <w:shd w:val="clear" w:color="auto" w:fill="auto"/>
            <w:vAlign w:val="top"/>
          </w:tcPr>
          <w:p w14:paraId="7931E906">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c>
          <w:tcPr>
            <w:tcW w:w="959" w:type="pct"/>
            <w:tcBorders>
              <w:top w:val="single" w:color="auto" w:sz="4" w:space="0"/>
              <w:left w:val="single" w:color="auto" w:sz="4" w:space="0"/>
              <w:bottom w:val="single" w:color="auto" w:sz="4" w:space="0"/>
              <w:right w:val="single" w:color="auto" w:sz="4" w:space="0"/>
            </w:tcBorders>
            <w:shd w:val="clear" w:color="auto" w:fill="auto"/>
            <w:vAlign w:val="top"/>
          </w:tcPr>
          <w:p w14:paraId="37D8925C">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r>
      <w:tr w14:paraId="27C00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6" w:type="pct"/>
            <w:vMerge w:val="continue"/>
            <w:tcBorders>
              <w:top w:val="nil"/>
              <w:left w:val="single" w:color="auto" w:sz="4" w:space="0"/>
              <w:bottom w:val="single" w:color="auto" w:sz="4" w:space="0"/>
              <w:right w:val="single" w:color="auto" w:sz="4" w:space="0"/>
            </w:tcBorders>
            <w:shd w:val="clear" w:color="auto" w:fill="auto"/>
            <w:vAlign w:val="center"/>
          </w:tcPr>
          <w:p w14:paraId="12C78747">
            <w:pPr>
              <w:keepNext w:val="0"/>
              <w:keepLines w:val="0"/>
              <w:suppressLineNumbers w:val="0"/>
              <w:spacing w:before="0" w:beforeAutospacing="0" w:after="0" w:afterAutospacing="0"/>
              <w:ind w:left="0" w:right="0"/>
              <w:jc w:val="both"/>
              <w:rPr>
                <w:rFonts w:hint="eastAsia" w:ascii="宋体" w:hAnsi="宋体" w:eastAsia="宋体" w:cs="宋体"/>
                <w:color w:val="auto"/>
                <w:sz w:val="21"/>
                <w:szCs w:val="21"/>
              </w:rPr>
            </w:pP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17655970">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计划执行</w:t>
            </w:r>
          </w:p>
          <w:p w14:paraId="2E84F616">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（5分）</w:t>
            </w:r>
          </w:p>
        </w:tc>
        <w:tc>
          <w:tcPr>
            <w:tcW w:w="1100" w:type="pct"/>
            <w:tcBorders>
              <w:top w:val="single" w:color="auto" w:sz="4" w:space="0"/>
              <w:left w:val="single" w:color="auto" w:sz="4" w:space="0"/>
              <w:bottom w:val="single" w:color="auto" w:sz="4" w:space="0"/>
              <w:right w:val="single" w:color="auto" w:sz="4" w:space="0"/>
            </w:tcBorders>
            <w:shd w:val="clear" w:color="auto" w:fill="auto"/>
            <w:vAlign w:val="top"/>
          </w:tcPr>
          <w:p w14:paraId="448E50D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是否按要求提交季度维保计划并执行，是否完成月度保养任务</w:t>
            </w:r>
          </w:p>
        </w:tc>
        <w:tc>
          <w:tcPr>
            <w:tcW w:w="1154" w:type="pct"/>
            <w:tcBorders>
              <w:top w:val="single" w:color="auto" w:sz="4" w:space="0"/>
              <w:left w:val="single" w:color="auto" w:sz="4" w:space="0"/>
              <w:bottom w:val="single" w:color="auto" w:sz="4" w:space="0"/>
              <w:right w:val="single" w:color="auto" w:sz="4" w:space="0"/>
            </w:tcBorders>
            <w:shd w:val="clear" w:color="auto" w:fill="auto"/>
            <w:vAlign w:val="center"/>
          </w:tcPr>
          <w:p w14:paraId="2F03F265">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未提交计划扣3分，未执行1项任务扣1分</w:t>
            </w:r>
          </w:p>
        </w:tc>
        <w:tc>
          <w:tcPr>
            <w:tcW w:w="577" w:type="pct"/>
            <w:tcBorders>
              <w:top w:val="single" w:color="auto" w:sz="4" w:space="0"/>
              <w:left w:val="single" w:color="auto" w:sz="4" w:space="0"/>
              <w:bottom w:val="single" w:color="auto" w:sz="4" w:space="0"/>
              <w:right w:val="single" w:color="auto" w:sz="4" w:space="0"/>
            </w:tcBorders>
            <w:shd w:val="clear" w:color="auto" w:fill="auto"/>
            <w:vAlign w:val="top"/>
          </w:tcPr>
          <w:p w14:paraId="730A61A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c>
          <w:tcPr>
            <w:tcW w:w="959" w:type="pct"/>
            <w:tcBorders>
              <w:top w:val="single" w:color="auto" w:sz="4" w:space="0"/>
              <w:left w:val="single" w:color="auto" w:sz="4" w:space="0"/>
              <w:bottom w:val="single" w:color="auto" w:sz="4" w:space="0"/>
              <w:right w:val="single" w:color="auto" w:sz="4" w:space="0"/>
            </w:tcBorders>
            <w:shd w:val="clear" w:color="auto" w:fill="auto"/>
            <w:vAlign w:val="top"/>
          </w:tcPr>
          <w:p w14:paraId="49EEA04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r>
      <w:tr w14:paraId="37A4F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6" w:type="pct"/>
            <w:vMerge w:val="continue"/>
            <w:tcBorders>
              <w:top w:val="nil"/>
              <w:left w:val="single" w:color="auto" w:sz="4" w:space="0"/>
              <w:bottom w:val="single" w:color="auto" w:sz="4" w:space="0"/>
              <w:right w:val="single" w:color="auto" w:sz="4" w:space="0"/>
            </w:tcBorders>
            <w:shd w:val="clear" w:color="auto" w:fill="auto"/>
            <w:vAlign w:val="center"/>
          </w:tcPr>
          <w:p w14:paraId="0A65B2C9">
            <w:pPr>
              <w:keepNext w:val="0"/>
              <w:keepLines w:val="0"/>
              <w:suppressLineNumbers w:val="0"/>
              <w:spacing w:before="0" w:beforeAutospacing="0" w:after="0" w:afterAutospacing="0"/>
              <w:ind w:left="0" w:right="0"/>
              <w:jc w:val="both"/>
              <w:rPr>
                <w:rFonts w:hint="eastAsia" w:ascii="宋体" w:hAnsi="宋体" w:eastAsia="宋体" w:cs="宋体"/>
                <w:color w:val="auto"/>
                <w:sz w:val="21"/>
                <w:szCs w:val="21"/>
              </w:rPr>
            </w:pP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0768E01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备品备件</w:t>
            </w:r>
          </w:p>
          <w:p w14:paraId="4A53F8B9">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（5分）</w:t>
            </w:r>
          </w:p>
        </w:tc>
        <w:tc>
          <w:tcPr>
            <w:tcW w:w="1100" w:type="pct"/>
            <w:tcBorders>
              <w:top w:val="single" w:color="auto" w:sz="4" w:space="0"/>
              <w:left w:val="single" w:color="auto" w:sz="4" w:space="0"/>
              <w:bottom w:val="single" w:color="auto" w:sz="4" w:space="0"/>
              <w:right w:val="single" w:color="auto" w:sz="4" w:space="0"/>
            </w:tcBorders>
            <w:shd w:val="clear" w:color="auto" w:fill="auto"/>
            <w:vAlign w:val="top"/>
          </w:tcPr>
          <w:p w14:paraId="2CE80EED">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是否按合同价5%配备维修耗材及备品备件</w:t>
            </w:r>
          </w:p>
        </w:tc>
        <w:tc>
          <w:tcPr>
            <w:tcW w:w="1154" w:type="pct"/>
            <w:tcBorders>
              <w:top w:val="single" w:color="auto" w:sz="4" w:space="0"/>
              <w:left w:val="single" w:color="auto" w:sz="4" w:space="0"/>
              <w:bottom w:val="single" w:color="auto" w:sz="4" w:space="0"/>
              <w:right w:val="single" w:color="auto" w:sz="4" w:space="0"/>
            </w:tcBorders>
            <w:shd w:val="clear" w:color="auto" w:fill="auto"/>
            <w:vAlign w:val="center"/>
          </w:tcPr>
          <w:p w14:paraId="79071C2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未达标扣5分，耗材缺失1项扣1分</w:t>
            </w:r>
          </w:p>
        </w:tc>
        <w:tc>
          <w:tcPr>
            <w:tcW w:w="577" w:type="pct"/>
            <w:tcBorders>
              <w:top w:val="single" w:color="auto" w:sz="4" w:space="0"/>
              <w:left w:val="single" w:color="auto" w:sz="4" w:space="0"/>
              <w:bottom w:val="single" w:color="auto" w:sz="4" w:space="0"/>
              <w:right w:val="single" w:color="auto" w:sz="4" w:space="0"/>
            </w:tcBorders>
            <w:shd w:val="clear" w:color="auto" w:fill="auto"/>
            <w:vAlign w:val="top"/>
          </w:tcPr>
          <w:p w14:paraId="447AC5AE">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c>
          <w:tcPr>
            <w:tcW w:w="959" w:type="pct"/>
            <w:tcBorders>
              <w:top w:val="single" w:color="auto" w:sz="4" w:space="0"/>
              <w:left w:val="single" w:color="auto" w:sz="4" w:space="0"/>
              <w:bottom w:val="single" w:color="auto" w:sz="4" w:space="0"/>
              <w:right w:val="single" w:color="auto" w:sz="4" w:space="0"/>
            </w:tcBorders>
            <w:shd w:val="clear" w:color="auto" w:fill="auto"/>
            <w:vAlign w:val="top"/>
          </w:tcPr>
          <w:p w14:paraId="7B789D9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r>
      <w:tr w14:paraId="544AC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6" w:type="pct"/>
            <w:vMerge w:val="restart"/>
            <w:tcBorders>
              <w:top w:val="nil"/>
              <w:left w:val="single" w:color="auto" w:sz="4" w:space="0"/>
              <w:bottom w:val="single" w:color="auto" w:sz="4" w:space="0"/>
              <w:right w:val="single" w:color="auto" w:sz="4" w:space="0"/>
            </w:tcBorders>
            <w:shd w:val="clear" w:color="auto" w:fill="auto"/>
            <w:vAlign w:val="center"/>
          </w:tcPr>
          <w:p w14:paraId="0BA655EE">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1"/>
                <w:szCs w:val="21"/>
              </w:rPr>
            </w:pPr>
            <w:r>
              <w:rPr>
                <w:rFonts w:hint="eastAsia" w:ascii="宋体" w:hAnsi="宋体" w:eastAsia="宋体" w:cs="宋体"/>
                <w:b/>
                <w:bCs w:val="0"/>
                <w:color w:val="auto"/>
                <w:kern w:val="2"/>
                <w:sz w:val="21"/>
                <w:szCs w:val="21"/>
                <w:lang w:val="en-US" w:eastAsia="zh-CN" w:bidi="ar"/>
              </w:rPr>
              <w:t>二、消防系统维保质量</w:t>
            </w:r>
          </w:p>
          <w:p w14:paraId="1762C086">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rPr>
            </w:pPr>
            <w:r>
              <w:rPr>
                <w:rFonts w:hint="eastAsia" w:ascii="宋体" w:hAnsi="宋体" w:eastAsia="宋体" w:cs="宋体"/>
                <w:b/>
                <w:bCs w:val="0"/>
                <w:color w:val="auto"/>
                <w:kern w:val="2"/>
                <w:sz w:val="21"/>
                <w:szCs w:val="21"/>
                <w:lang w:val="en-US" w:eastAsia="zh-CN" w:bidi="ar"/>
              </w:rPr>
              <w:t>（50分）</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65BDE57E">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火灾自动报警系统（10分）</w:t>
            </w:r>
          </w:p>
        </w:tc>
        <w:tc>
          <w:tcPr>
            <w:tcW w:w="1100" w:type="pct"/>
            <w:tcBorders>
              <w:top w:val="single" w:color="auto" w:sz="4" w:space="0"/>
              <w:left w:val="single" w:color="auto" w:sz="4" w:space="0"/>
              <w:bottom w:val="single" w:color="auto" w:sz="4" w:space="0"/>
              <w:right w:val="single" w:color="auto" w:sz="4" w:space="0"/>
            </w:tcBorders>
            <w:shd w:val="clear" w:color="auto" w:fill="auto"/>
            <w:vAlign w:val="center"/>
          </w:tcPr>
          <w:p w14:paraId="06F73759">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①分期分批试验探测器动作及确认灯显示；②试验火灾警报装置声光功能；③试验水流指示器/压力开关报警；④主备电源自动切换试验；⑤消防控制设备功能检查</w:t>
            </w:r>
          </w:p>
        </w:tc>
        <w:tc>
          <w:tcPr>
            <w:tcW w:w="1154" w:type="pct"/>
            <w:tcBorders>
              <w:top w:val="single" w:color="auto" w:sz="4" w:space="0"/>
              <w:left w:val="single" w:color="auto" w:sz="4" w:space="0"/>
              <w:bottom w:val="single" w:color="auto" w:sz="4" w:space="0"/>
              <w:right w:val="single" w:color="auto" w:sz="4" w:space="0"/>
            </w:tcBorders>
            <w:shd w:val="clear" w:color="auto" w:fill="auto"/>
            <w:vAlign w:val="center"/>
          </w:tcPr>
          <w:p w14:paraId="1AA1B7E4">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每项未完成扣2分，试验失败1处扣1分</w:t>
            </w:r>
          </w:p>
        </w:tc>
        <w:tc>
          <w:tcPr>
            <w:tcW w:w="577" w:type="pct"/>
            <w:tcBorders>
              <w:top w:val="single" w:color="auto" w:sz="4" w:space="0"/>
              <w:left w:val="single" w:color="auto" w:sz="4" w:space="0"/>
              <w:bottom w:val="single" w:color="auto" w:sz="4" w:space="0"/>
              <w:right w:val="single" w:color="auto" w:sz="4" w:space="0"/>
            </w:tcBorders>
            <w:shd w:val="clear" w:color="auto" w:fill="auto"/>
            <w:vAlign w:val="top"/>
          </w:tcPr>
          <w:p w14:paraId="6EEC3596">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c>
          <w:tcPr>
            <w:tcW w:w="959" w:type="pct"/>
            <w:tcBorders>
              <w:top w:val="single" w:color="auto" w:sz="4" w:space="0"/>
              <w:left w:val="single" w:color="auto" w:sz="4" w:space="0"/>
              <w:bottom w:val="single" w:color="auto" w:sz="4" w:space="0"/>
              <w:right w:val="single" w:color="auto" w:sz="4" w:space="0"/>
            </w:tcBorders>
            <w:shd w:val="clear" w:color="auto" w:fill="auto"/>
            <w:vAlign w:val="top"/>
          </w:tcPr>
          <w:p w14:paraId="72FB129C">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r>
      <w:tr w14:paraId="4AF6C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6" w:type="pct"/>
            <w:vMerge w:val="continue"/>
            <w:tcBorders>
              <w:top w:val="nil"/>
              <w:left w:val="single" w:color="auto" w:sz="4" w:space="0"/>
              <w:bottom w:val="single" w:color="auto" w:sz="4" w:space="0"/>
              <w:right w:val="single" w:color="auto" w:sz="4" w:space="0"/>
            </w:tcBorders>
            <w:shd w:val="clear" w:color="auto" w:fill="auto"/>
            <w:vAlign w:val="center"/>
          </w:tcPr>
          <w:p w14:paraId="58ABC1F2">
            <w:pPr>
              <w:keepNext w:val="0"/>
              <w:keepLines w:val="0"/>
              <w:suppressLineNumbers w:val="0"/>
              <w:spacing w:before="0" w:beforeAutospacing="0" w:after="0" w:afterAutospacing="0"/>
              <w:ind w:left="0" w:right="0"/>
              <w:jc w:val="both"/>
              <w:rPr>
                <w:rFonts w:hint="eastAsia" w:ascii="宋体" w:hAnsi="宋体" w:eastAsia="宋体" w:cs="宋体"/>
                <w:color w:val="auto"/>
                <w:sz w:val="21"/>
                <w:szCs w:val="21"/>
              </w:rPr>
            </w:pP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1D3FEDA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自动喷水灭火系统（8分）</w:t>
            </w:r>
          </w:p>
        </w:tc>
        <w:tc>
          <w:tcPr>
            <w:tcW w:w="1100" w:type="pct"/>
            <w:tcBorders>
              <w:top w:val="single" w:color="auto" w:sz="4" w:space="0"/>
              <w:left w:val="single" w:color="auto" w:sz="4" w:space="0"/>
              <w:bottom w:val="single" w:color="auto" w:sz="4" w:space="0"/>
              <w:right w:val="single" w:color="auto" w:sz="4" w:space="0"/>
            </w:tcBorders>
            <w:shd w:val="clear" w:color="auto" w:fill="auto"/>
            <w:vAlign w:val="center"/>
          </w:tcPr>
          <w:p w14:paraId="57FD907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①报警阀组试水阀放水测试；②室外阀门井控制阀门开启状况检查；③水泵接合器完好性检查</w:t>
            </w:r>
          </w:p>
        </w:tc>
        <w:tc>
          <w:tcPr>
            <w:tcW w:w="1154" w:type="pct"/>
            <w:tcBorders>
              <w:top w:val="single" w:color="auto" w:sz="4" w:space="0"/>
              <w:left w:val="single" w:color="auto" w:sz="4" w:space="0"/>
              <w:bottom w:val="single" w:color="auto" w:sz="4" w:space="0"/>
              <w:right w:val="single" w:color="auto" w:sz="4" w:space="0"/>
            </w:tcBorders>
            <w:shd w:val="clear" w:color="auto" w:fill="auto"/>
            <w:vAlign w:val="center"/>
          </w:tcPr>
          <w:p w14:paraId="7693950C">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每项未完成扣2分，测试不合格1处扣1分</w:t>
            </w:r>
          </w:p>
        </w:tc>
        <w:tc>
          <w:tcPr>
            <w:tcW w:w="577" w:type="pct"/>
            <w:tcBorders>
              <w:top w:val="single" w:color="auto" w:sz="4" w:space="0"/>
              <w:left w:val="single" w:color="auto" w:sz="4" w:space="0"/>
              <w:bottom w:val="single" w:color="auto" w:sz="4" w:space="0"/>
              <w:right w:val="single" w:color="auto" w:sz="4" w:space="0"/>
            </w:tcBorders>
            <w:shd w:val="clear" w:color="auto" w:fill="auto"/>
            <w:vAlign w:val="top"/>
          </w:tcPr>
          <w:p w14:paraId="504179C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c>
          <w:tcPr>
            <w:tcW w:w="959" w:type="pct"/>
            <w:tcBorders>
              <w:top w:val="single" w:color="auto" w:sz="4" w:space="0"/>
              <w:left w:val="single" w:color="auto" w:sz="4" w:space="0"/>
              <w:bottom w:val="single" w:color="auto" w:sz="4" w:space="0"/>
              <w:right w:val="single" w:color="auto" w:sz="4" w:space="0"/>
            </w:tcBorders>
            <w:shd w:val="clear" w:color="auto" w:fill="auto"/>
            <w:vAlign w:val="top"/>
          </w:tcPr>
          <w:p w14:paraId="21F1EFA9">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r>
      <w:tr w14:paraId="15D8E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6" w:type="pct"/>
            <w:vMerge w:val="continue"/>
            <w:tcBorders>
              <w:top w:val="nil"/>
              <w:left w:val="single" w:color="auto" w:sz="4" w:space="0"/>
              <w:bottom w:val="single" w:color="auto" w:sz="4" w:space="0"/>
              <w:right w:val="single" w:color="auto" w:sz="4" w:space="0"/>
            </w:tcBorders>
            <w:shd w:val="clear" w:color="auto" w:fill="auto"/>
            <w:vAlign w:val="center"/>
          </w:tcPr>
          <w:p w14:paraId="55E1F23C">
            <w:pPr>
              <w:keepNext w:val="0"/>
              <w:keepLines w:val="0"/>
              <w:suppressLineNumbers w:val="0"/>
              <w:spacing w:before="0" w:beforeAutospacing="0" w:after="0" w:afterAutospacing="0"/>
              <w:ind w:left="0" w:right="0"/>
              <w:jc w:val="both"/>
              <w:rPr>
                <w:rFonts w:hint="eastAsia" w:ascii="宋体" w:hAnsi="宋体" w:eastAsia="宋体" w:cs="宋体"/>
                <w:color w:val="auto"/>
                <w:sz w:val="21"/>
                <w:szCs w:val="21"/>
              </w:rPr>
            </w:pP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04A91FD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气体灭火系统</w:t>
            </w:r>
          </w:p>
          <w:p w14:paraId="50063AD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（6分）</w:t>
            </w:r>
          </w:p>
        </w:tc>
        <w:tc>
          <w:tcPr>
            <w:tcW w:w="1100" w:type="pct"/>
            <w:tcBorders>
              <w:top w:val="single" w:color="auto" w:sz="4" w:space="0"/>
              <w:left w:val="single" w:color="auto" w:sz="4" w:space="0"/>
              <w:bottom w:val="single" w:color="auto" w:sz="4" w:space="0"/>
              <w:right w:val="single" w:color="auto" w:sz="4" w:space="0"/>
            </w:tcBorders>
            <w:shd w:val="clear" w:color="auto" w:fill="auto"/>
            <w:vAlign w:val="center"/>
          </w:tcPr>
          <w:p w14:paraId="46E525A3">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①防护区开口/可燃物分布检查；②储存装置间设备/管道固定性检查；③喷嘴孔口堵塞检查；④灭火剂净重≥设计量90%</w:t>
            </w:r>
          </w:p>
        </w:tc>
        <w:tc>
          <w:tcPr>
            <w:tcW w:w="1154" w:type="pct"/>
            <w:tcBorders>
              <w:top w:val="single" w:color="auto" w:sz="4" w:space="0"/>
              <w:left w:val="single" w:color="auto" w:sz="4" w:space="0"/>
              <w:bottom w:val="single" w:color="auto" w:sz="4" w:space="0"/>
              <w:right w:val="single" w:color="auto" w:sz="4" w:space="0"/>
            </w:tcBorders>
            <w:shd w:val="clear" w:color="auto" w:fill="auto"/>
            <w:vAlign w:val="center"/>
          </w:tcPr>
          <w:p w14:paraId="0E91B729">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每项未完成扣1.5分，不符合要求1处扣1分</w:t>
            </w:r>
          </w:p>
        </w:tc>
        <w:tc>
          <w:tcPr>
            <w:tcW w:w="577" w:type="pct"/>
            <w:tcBorders>
              <w:top w:val="single" w:color="auto" w:sz="4" w:space="0"/>
              <w:left w:val="single" w:color="auto" w:sz="4" w:space="0"/>
              <w:bottom w:val="single" w:color="auto" w:sz="4" w:space="0"/>
              <w:right w:val="single" w:color="auto" w:sz="4" w:space="0"/>
            </w:tcBorders>
            <w:shd w:val="clear" w:color="auto" w:fill="auto"/>
            <w:vAlign w:val="top"/>
          </w:tcPr>
          <w:p w14:paraId="2F51C6C9">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c>
          <w:tcPr>
            <w:tcW w:w="959" w:type="pct"/>
            <w:tcBorders>
              <w:top w:val="single" w:color="auto" w:sz="4" w:space="0"/>
              <w:left w:val="single" w:color="auto" w:sz="4" w:space="0"/>
              <w:bottom w:val="single" w:color="auto" w:sz="4" w:space="0"/>
              <w:right w:val="single" w:color="auto" w:sz="4" w:space="0"/>
            </w:tcBorders>
            <w:shd w:val="clear" w:color="auto" w:fill="auto"/>
            <w:vAlign w:val="top"/>
          </w:tcPr>
          <w:p w14:paraId="61C49283">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r>
      <w:tr w14:paraId="68C6B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6" w:type="pct"/>
            <w:vMerge w:val="continue"/>
            <w:tcBorders>
              <w:top w:val="nil"/>
              <w:left w:val="single" w:color="auto" w:sz="4" w:space="0"/>
              <w:bottom w:val="single" w:color="auto" w:sz="4" w:space="0"/>
              <w:right w:val="single" w:color="auto" w:sz="4" w:space="0"/>
            </w:tcBorders>
            <w:shd w:val="clear" w:color="auto" w:fill="auto"/>
            <w:vAlign w:val="center"/>
          </w:tcPr>
          <w:p w14:paraId="17755C4A">
            <w:pPr>
              <w:keepNext w:val="0"/>
              <w:keepLines w:val="0"/>
              <w:suppressLineNumbers w:val="0"/>
              <w:spacing w:before="0" w:beforeAutospacing="0" w:after="0" w:afterAutospacing="0"/>
              <w:ind w:left="0" w:right="0"/>
              <w:jc w:val="both"/>
              <w:rPr>
                <w:rFonts w:hint="eastAsia" w:ascii="宋体" w:hAnsi="宋体" w:eastAsia="宋体" w:cs="宋体"/>
                <w:color w:val="auto"/>
                <w:sz w:val="21"/>
                <w:szCs w:val="21"/>
              </w:rPr>
            </w:pP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7C988FE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防排烟系统（6分）</w:t>
            </w:r>
          </w:p>
        </w:tc>
        <w:tc>
          <w:tcPr>
            <w:tcW w:w="1100" w:type="pct"/>
            <w:tcBorders>
              <w:top w:val="single" w:color="auto" w:sz="4" w:space="0"/>
              <w:left w:val="single" w:color="auto" w:sz="4" w:space="0"/>
              <w:bottom w:val="single" w:color="auto" w:sz="4" w:space="0"/>
              <w:right w:val="single" w:color="auto" w:sz="4" w:space="0"/>
            </w:tcBorders>
            <w:shd w:val="clear" w:color="auto" w:fill="auto"/>
            <w:vAlign w:val="center"/>
          </w:tcPr>
          <w:p w14:paraId="222F3506">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①防火阀/排烟防火阀手动/自动启动复位试验；②送风阀/排烟阀功能测试；③风机远程启停及信号反馈</w:t>
            </w:r>
          </w:p>
        </w:tc>
        <w:tc>
          <w:tcPr>
            <w:tcW w:w="1154" w:type="pct"/>
            <w:tcBorders>
              <w:top w:val="single" w:color="auto" w:sz="4" w:space="0"/>
              <w:left w:val="single" w:color="auto" w:sz="4" w:space="0"/>
              <w:bottom w:val="single" w:color="auto" w:sz="4" w:space="0"/>
              <w:right w:val="single" w:color="auto" w:sz="4" w:space="0"/>
            </w:tcBorders>
            <w:shd w:val="clear" w:color="auto" w:fill="auto"/>
            <w:vAlign w:val="center"/>
          </w:tcPr>
          <w:p w14:paraId="72BFAA09">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每项未完成扣2分，试验失败1处扣1分</w:t>
            </w:r>
          </w:p>
        </w:tc>
        <w:tc>
          <w:tcPr>
            <w:tcW w:w="577" w:type="pct"/>
            <w:tcBorders>
              <w:top w:val="single" w:color="auto" w:sz="4" w:space="0"/>
              <w:left w:val="single" w:color="auto" w:sz="4" w:space="0"/>
              <w:bottom w:val="single" w:color="auto" w:sz="4" w:space="0"/>
              <w:right w:val="single" w:color="auto" w:sz="4" w:space="0"/>
            </w:tcBorders>
            <w:shd w:val="clear" w:color="auto" w:fill="auto"/>
            <w:vAlign w:val="top"/>
          </w:tcPr>
          <w:p w14:paraId="556E2C85">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c>
          <w:tcPr>
            <w:tcW w:w="959" w:type="pct"/>
            <w:tcBorders>
              <w:top w:val="single" w:color="auto" w:sz="4" w:space="0"/>
              <w:left w:val="single" w:color="auto" w:sz="4" w:space="0"/>
              <w:bottom w:val="single" w:color="auto" w:sz="4" w:space="0"/>
              <w:right w:val="single" w:color="auto" w:sz="4" w:space="0"/>
            </w:tcBorders>
            <w:shd w:val="clear" w:color="auto" w:fill="auto"/>
            <w:vAlign w:val="top"/>
          </w:tcPr>
          <w:p w14:paraId="709D5AC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r>
      <w:tr w14:paraId="33DEF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6" w:type="pct"/>
            <w:vMerge w:val="continue"/>
            <w:tcBorders>
              <w:top w:val="nil"/>
              <w:left w:val="single" w:color="auto" w:sz="4" w:space="0"/>
              <w:bottom w:val="single" w:color="auto" w:sz="4" w:space="0"/>
              <w:right w:val="single" w:color="auto" w:sz="4" w:space="0"/>
            </w:tcBorders>
            <w:shd w:val="clear" w:color="auto" w:fill="auto"/>
            <w:vAlign w:val="center"/>
          </w:tcPr>
          <w:p w14:paraId="255D31DE">
            <w:pPr>
              <w:keepNext w:val="0"/>
              <w:keepLines w:val="0"/>
              <w:suppressLineNumbers w:val="0"/>
              <w:spacing w:before="0" w:beforeAutospacing="0" w:after="0" w:afterAutospacing="0"/>
              <w:ind w:left="0" w:right="0"/>
              <w:jc w:val="both"/>
              <w:rPr>
                <w:rFonts w:hint="eastAsia" w:ascii="宋体" w:hAnsi="宋体" w:eastAsia="宋体" w:cs="宋体"/>
                <w:color w:val="auto"/>
                <w:sz w:val="21"/>
                <w:szCs w:val="21"/>
              </w:rPr>
            </w:pP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0238B568">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 xml:space="preserve"> 应急照明与疏散指示</w:t>
            </w:r>
          </w:p>
          <w:p w14:paraId="5EC8160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（6分）</w:t>
            </w:r>
          </w:p>
        </w:tc>
        <w:tc>
          <w:tcPr>
            <w:tcW w:w="1100" w:type="pct"/>
            <w:tcBorders>
              <w:top w:val="single" w:color="auto" w:sz="4" w:space="0"/>
              <w:left w:val="single" w:color="auto" w:sz="4" w:space="0"/>
              <w:bottom w:val="single" w:color="auto" w:sz="4" w:space="0"/>
              <w:right w:val="single" w:color="auto" w:sz="4" w:space="0"/>
            </w:tcBorders>
            <w:shd w:val="clear" w:color="auto" w:fill="auto"/>
            <w:vAlign w:val="center"/>
          </w:tcPr>
          <w:p w14:paraId="4792EAF6">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①应急灯具/集中电源指示状态检查；②应急工作时间测试；③转入应急状态控制功能测试</w:t>
            </w:r>
          </w:p>
        </w:tc>
        <w:tc>
          <w:tcPr>
            <w:tcW w:w="1154" w:type="pct"/>
            <w:tcBorders>
              <w:top w:val="single" w:color="auto" w:sz="4" w:space="0"/>
              <w:left w:val="single" w:color="auto" w:sz="4" w:space="0"/>
              <w:bottom w:val="single" w:color="auto" w:sz="4" w:space="0"/>
              <w:right w:val="single" w:color="auto" w:sz="4" w:space="0"/>
            </w:tcBorders>
            <w:shd w:val="clear" w:color="auto" w:fill="auto"/>
            <w:vAlign w:val="center"/>
          </w:tcPr>
          <w:p w14:paraId="675DE62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每项未完成扣2分，测试不合格1处扣1分</w:t>
            </w:r>
          </w:p>
        </w:tc>
        <w:tc>
          <w:tcPr>
            <w:tcW w:w="577" w:type="pct"/>
            <w:tcBorders>
              <w:top w:val="single" w:color="auto" w:sz="4" w:space="0"/>
              <w:left w:val="single" w:color="auto" w:sz="4" w:space="0"/>
              <w:bottom w:val="single" w:color="auto" w:sz="4" w:space="0"/>
              <w:right w:val="single" w:color="auto" w:sz="4" w:space="0"/>
            </w:tcBorders>
            <w:shd w:val="clear" w:color="auto" w:fill="auto"/>
            <w:vAlign w:val="top"/>
          </w:tcPr>
          <w:p w14:paraId="47E3609C">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c>
          <w:tcPr>
            <w:tcW w:w="959" w:type="pct"/>
            <w:tcBorders>
              <w:top w:val="single" w:color="auto" w:sz="4" w:space="0"/>
              <w:left w:val="single" w:color="auto" w:sz="4" w:space="0"/>
              <w:bottom w:val="single" w:color="auto" w:sz="4" w:space="0"/>
              <w:right w:val="single" w:color="auto" w:sz="4" w:space="0"/>
            </w:tcBorders>
            <w:shd w:val="clear" w:color="auto" w:fill="auto"/>
            <w:vAlign w:val="top"/>
          </w:tcPr>
          <w:p w14:paraId="19D3BDD4">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r>
      <w:tr w14:paraId="67D67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6" w:type="pct"/>
            <w:vMerge w:val="continue"/>
            <w:tcBorders>
              <w:top w:val="nil"/>
              <w:left w:val="single" w:color="auto" w:sz="4" w:space="0"/>
              <w:bottom w:val="single" w:color="auto" w:sz="4" w:space="0"/>
              <w:right w:val="single" w:color="auto" w:sz="4" w:space="0"/>
            </w:tcBorders>
            <w:shd w:val="clear" w:color="auto" w:fill="auto"/>
            <w:vAlign w:val="center"/>
          </w:tcPr>
          <w:p w14:paraId="236F4606">
            <w:pPr>
              <w:keepNext w:val="0"/>
              <w:keepLines w:val="0"/>
              <w:suppressLineNumbers w:val="0"/>
              <w:spacing w:before="0" w:beforeAutospacing="0" w:after="0" w:afterAutospacing="0"/>
              <w:ind w:left="0" w:right="0"/>
              <w:jc w:val="both"/>
              <w:rPr>
                <w:rFonts w:hint="eastAsia" w:ascii="宋体" w:hAnsi="宋体" w:eastAsia="宋体" w:cs="宋体"/>
                <w:color w:val="auto"/>
                <w:sz w:val="21"/>
                <w:szCs w:val="21"/>
              </w:rPr>
            </w:pP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5E74DDAE">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消防供配电设施</w:t>
            </w:r>
          </w:p>
          <w:p w14:paraId="661C1200">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（4分）</w:t>
            </w:r>
          </w:p>
        </w:tc>
        <w:tc>
          <w:tcPr>
            <w:tcW w:w="1100" w:type="pct"/>
            <w:tcBorders>
              <w:top w:val="single" w:color="auto" w:sz="4" w:space="0"/>
              <w:left w:val="single" w:color="auto" w:sz="4" w:space="0"/>
              <w:bottom w:val="single" w:color="auto" w:sz="4" w:space="0"/>
              <w:right w:val="single" w:color="auto" w:sz="4" w:space="0"/>
            </w:tcBorders>
            <w:shd w:val="clear" w:color="auto" w:fill="auto"/>
            <w:vAlign w:val="center"/>
          </w:tcPr>
          <w:p w14:paraId="51CD417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试验消防电源末端切换功能</w:t>
            </w:r>
          </w:p>
        </w:tc>
        <w:tc>
          <w:tcPr>
            <w:tcW w:w="1154" w:type="pct"/>
            <w:tcBorders>
              <w:top w:val="single" w:color="auto" w:sz="4" w:space="0"/>
              <w:left w:val="single" w:color="auto" w:sz="4" w:space="0"/>
              <w:bottom w:val="single" w:color="auto" w:sz="4" w:space="0"/>
              <w:right w:val="single" w:color="auto" w:sz="4" w:space="0"/>
            </w:tcBorders>
            <w:shd w:val="clear" w:color="auto" w:fill="auto"/>
            <w:vAlign w:val="center"/>
          </w:tcPr>
          <w:p w14:paraId="69B6B08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未完成扣4分，切换失败扣2分</w:t>
            </w:r>
          </w:p>
        </w:tc>
        <w:tc>
          <w:tcPr>
            <w:tcW w:w="577" w:type="pct"/>
            <w:tcBorders>
              <w:top w:val="single" w:color="auto" w:sz="4" w:space="0"/>
              <w:left w:val="single" w:color="auto" w:sz="4" w:space="0"/>
              <w:bottom w:val="single" w:color="auto" w:sz="4" w:space="0"/>
              <w:right w:val="single" w:color="auto" w:sz="4" w:space="0"/>
            </w:tcBorders>
            <w:shd w:val="clear" w:color="auto" w:fill="auto"/>
            <w:vAlign w:val="top"/>
          </w:tcPr>
          <w:p w14:paraId="179B6283">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c>
          <w:tcPr>
            <w:tcW w:w="959" w:type="pct"/>
            <w:tcBorders>
              <w:top w:val="single" w:color="auto" w:sz="4" w:space="0"/>
              <w:left w:val="single" w:color="auto" w:sz="4" w:space="0"/>
              <w:bottom w:val="single" w:color="auto" w:sz="4" w:space="0"/>
              <w:right w:val="single" w:color="auto" w:sz="4" w:space="0"/>
            </w:tcBorders>
            <w:shd w:val="clear" w:color="auto" w:fill="auto"/>
            <w:vAlign w:val="top"/>
          </w:tcPr>
          <w:p w14:paraId="3C0EE213">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r>
      <w:tr w14:paraId="73002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6" w:type="pct"/>
            <w:vMerge w:val="continue"/>
            <w:tcBorders>
              <w:top w:val="nil"/>
              <w:left w:val="single" w:color="auto" w:sz="4" w:space="0"/>
              <w:bottom w:val="single" w:color="auto" w:sz="4" w:space="0"/>
              <w:right w:val="single" w:color="auto" w:sz="4" w:space="0"/>
            </w:tcBorders>
            <w:shd w:val="clear" w:color="auto" w:fill="auto"/>
            <w:vAlign w:val="center"/>
          </w:tcPr>
          <w:p w14:paraId="45E43959">
            <w:pPr>
              <w:keepNext w:val="0"/>
              <w:keepLines w:val="0"/>
              <w:suppressLineNumbers w:val="0"/>
              <w:spacing w:before="0" w:beforeAutospacing="0" w:after="0" w:afterAutospacing="0"/>
              <w:ind w:left="0" w:right="0"/>
              <w:jc w:val="both"/>
              <w:rPr>
                <w:rFonts w:hint="eastAsia" w:ascii="宋体" w:hAnsi="宋体" w:eastAsia="宋体" w:cs="宋体"/>
                <w:color w:val="auto"/>
                <w:sz w:val="21"/>
                <w:szCs w:val="21"/>
              </w:rPr>
            </w:pP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7CD320B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自动跟踪定位射流系统</w:t>
            </w:r>
          </w:p>
          <w:p w14:paraId="704AB8C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（4分）</w:t>
            </w:r>
          </w:p>
        </w:tc>
        <w:tc>
          <w:tcPr>
            <w:tcW w:w="1100" w:type="pct"/>
            <w:tcBorders>
              <w:top w:val="single" w:color="auto" w:sz="4" w:space="0"/>
              <w:left w:val="single" w:color="auto" w:sz="4" w:space="0"/>
              <w:bottom w:val="single" w:color="auto" w:sz="4" w:space="0"/>
              <w:right w:val="single" w:color="auto" w:sz="4" w:space="0"/>
            </w:tcBorders>
            <w:shd w:val="clear" w:color="auto" w:fill="auto"/>
            <w:vAlign w:val="center"/>
          </w:tcPr>
          <w:p w14:paraId="2A8A5DE7">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水炮巡检功能测试记录是否完整</w:t>
            </w:r>
          </w:p>
        </w:tc>
        <w:tc>
          <w:tcPr>
            <w:tcW w:w="1154" w:type="pct"/>
            <w:tcBorders>
              <w:top w:val="single" w:color="auto" w:sz="4" w:space="0"/>
              <w:left w:val="single" w:color="auto" w:sz="4" w:space="0"/>
              <w:bottom w:val="single" w:color="auto" w:sz="4" w:space="0"/>
              <w:right w:val="single" w:color="auto" w:sz="4" w:space="0"/>
            </w:tcBorders>
            <w:shd w:val="clear" w:color="auto" w:fill="auto"/>
            <w:vAlign w:val="center"/>
          </w:tcPr>
          <w:p w14:paraId="3D0A92FC">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未完成扣4分，记录缺失1次扣1分</w:t>
            </w:r>
          </w:p>
        </w:tc>
        <w:tc>
          <w:tcPr>
            <w:tcW w:w="577" w:type="pct"/>
            <w:tcBorders>
              <w:top w:val="single" w:color="auto" w:sz="4" w:space="0"/>
              <w:left w:val="single" w:color="auto" w:sz="4" w:space="0"/>
              <w:bottom w:val="single" w:color="auto" w:sz="4" w:space="0"/>
              <w:right w:val="single" w:color="auto" w:sz="4" w:space="0"/>
            </w:tcBorders>
            <w:shd w:val="clear" w:color="auto" w:fill="auto"/>
            <w:vAlign w:val="top"/>
          </w:tcPr>
          <w:p w14:paraId="5788AA63">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c>
          <w:tcPr>
            <w:tcW w:w="959" w:type="pct"/>
            <w:tcBorders>
              <w:top w:val="single" w:color="auto" w:sz="4" w:space="0"/>
              <w:left w:val="single" w:color="auto" w:sz="4" w:space="0"/>
              <w:bottom w:val="single" w:color="auto" w:sz="4" w:space="0"/>
              <w:right w:val="single" w:color="auto" w:sz="4" w:space="0"/>
            </w:tcBorders>
            <w:shd w:val="clear" w:color="auto" w:fill="auto"/>
            <w:vAlign w:val="top"/>
          </w:tcPr>
          <w:p w14:paraId="43F45B2C">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r>
      <w:tr w14:paraId="4AA13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6" w:type="pct"/>
            <w:vMerge w:val="continue"/>
            <w:tcBorders>
              <w:top w:val="nil"/>
              <w:left w:val="single" w:color="auto" w:sz="4" w:space="0"/>
              <w:bottom w:val="single" w:color="auto" w:sz="4" w:space="0"/>
              <w:right w:val="single" w:color="auto" w:sz="4" w:space="0"/>
            </w:tcBorders>
            <w:shd w:val="clear" w:color="auto" w:fill="auto"/>
            <w:vAlign w:val="center"/>
          </w:tcPr>
          <w:p w14:paraId="6BA665F3">
            <w:pPr>
              <w:keepNext w:val="0"/>
              <w:keepLines w:val="0"/>
              <w:suppressLineNumbers w:val="0"/>
              <w:spacing w:before="0" w:beforeAutospacing="0" w:after="0" w:afterAutospacing="0"/>
              <w:ind w:left="0" w:right="0"/>
              <w:jc w:val="both"/>
              <w:rPr>
                <w:rFonts w:hint="eastAsia" w:ascii="宋体" w:hAnsi="宋体" w:eastAsia="宋体" w:cs="宋体"/>
                <w:color w:val="auto"/>
                <w:sz w:val="21"/>
                <w:szCs w:val="21"/>
              </w:rPr>
            </w:pP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0CE56D60">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灭火器</w:t>
            </w:r>
          </w:p>
          <w:p w14:paraId="5FAC915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（6分）</w:t>
            </w:r>
          </w:p>
        </w:tc>
        <w:tc>
          <w:tcPr>
            <w:tcW w:w="1100" w:type="pct"/>
            <w:tcBorders>
              <w:top w:val="single" w:color="auto" w:sz="4" w:space="0"/>
              <w:left w:val="single" w:color="auto" w:sz="4" w:space="0"/>
              <w:bottom w:val="single" w:color="auto" w:sz="4" w:space="0"/>
              <w:right w:val="single" w:color="auto" w:sz="4" w:space="0"/>
            </w:tcBorders>
            <w:shd w:val="clear" w:color="auto" w:fill="auto"/>
            <w:vAlign w:val="center"/>
          </w:tcPr>
          <w:p w14:paraId="0EA63F1C">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巡查记录是否完整，灭火器外观/压力是否正常</w:t>
            </w:r>
          </w:p>
        </w:tc>
        <w:tc>
          <w:tcPr>
            <w:tcW w:w="1154" w:type="pct"/>
            <w:tcBorders>
              <w:top w:val="single" w:color="auto" w:sz="4" w:space="0"/>
              <w:left w:val="single" w:color="auto" w:sz="4" w:space="0"/>
              <w:bottom w:val="single" w:color="auto" w:sz="4" w:space="0"/>
              <w:right w:val="single" w:color="auto" w:sz="4" w:space="0"/>
            </w:tcBorders>
            <w:shd w:val="clear" w:color="auto" w:fill="auto"/>
            <w:vAlign w:val="center"/>
          </w:tcPr>
          <w:p w14:paraId="512BBED5">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记录缺失1次扣0.5分，灭火器异常1具扣1分</w:t>
            </w:r>
          </w:p>
        </w:tc>
        <w:tc>
          <w:tcPr>
            <w:tcW w:w="577" w:type="pct"/>
            <w:tcBorders>
              <w:top w:val="single" w:color="auto" w:sz="4" w:space="0"/>
              <w:left w:val="single" w:color="auto" w:sz="4" w:space="0"/>
              <w:bottom w:val="single" w:color="auto" w:sz="4" w:space="0"/>
              <w:right w:val="single" w:color="auto" w:sz="4" w:space="0"/>
            </w:tcBorders>
            <w:shd w:val="clear" w:color="auto" w:fill="auto"/>
            <w:vAlign w:val="top"/>
          </w:tcPr>
          <w:p w14:paraId="6734E18E">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c>
          <w:tcPr>
            <w:tcW w:w="959" w:type="pct"/>
            <w:tcBorders>
              <w:top w:val="single" w:color="auto" w:sz="4" w:space="0"/>
              <w:left w:val="single" w:color="auto" w:sz="4" w:space="0"/>
              <w:bottom w:val="single" w:color="auto" w:sz="4" w:space="0"/>
              <w:right w:val="single" w:color="auto" w:sz="4" w:space="0"/>
            </w:tcBorders>
            <w:shd w:val="clear" w:color="auto" w:fill="auto"/>
            <w:vAlign w:val="top"/>
          </w:tcPr>
          <w:p w14:paraId="2018C933">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r>
      <w:tr w14:paraId="24D4A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6" w:type="pct"/>
            <w:vMerge w:val="restart"/>
            <w:tcBorders>
              <w:top w:val="nil"/>
              <w:left w:val="single" w:color="auto" w:sz="4" w:space="0"/>
              <w:bottom w:val="single" w:color="auto" w:sz="4" w:space="0"/>
              <w:right w:val="single" w:color="auto" w:sz="4" w:space="0"/>
            </w:tcBorders>
            <w:shd w:val="clear" w:color="auto" w:fill="auto"/>
            <w:vAlign w:val="center"/>
          </w:tcPr>
          <w:p w14:paraId="1E152BE9">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rPr>
            </w:pPr>
            <w:r>
              <w:rPr>
                <w:rFonts w:hint="eastAsia" w:ascii="宋体" w:hAnsi="宋体" w:eastAsia="宋体" w:cs="宋体"/>
                <w:b/>
                <w:bCs w:val="0"/>
                <w:color w:val="auto"/>
                <w:kern w:val="2"/>
                <w:sz w:val="21"/>
                <w:szCs w:val="21"/>
                <w:lang w:val="en-US" w:eastAsia="zh-CN" w:bidi="ar"/>
              </w:rPr>
              <w:t>三、应急响应与服务配合（15分）</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3DD35751">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故障响应（5分）</w:t>
            </w:r>
          </w:p>
        </w:tc>
        <w:tc>
          <w:tcPr>
            <w:tcW w:w="1100" w:type="pct"/>
            <w:tcBorders>
              <w:top w:val="single" w:color="auto" w:sz="4" w:space="0"/>
              <w:left w:val="single" w:color="auto" w:sz="4" w:space="0"/>
              <w:bottom w:val="single" w:color="auto" w:sz="4" w:space="0"/>
              <w:right w:val="single" w:color="auto" w:sz="4" w:space="0"/>
            </w:tcBorders>
            <w:shd w:val="clear" w:color="auto" w:fill="auto"/>
            <w:vAlign w:val="center"/>
          </w:tcPr>
          <w:p w14:paraId="6C0372ED">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接报后3小时内处理故障，重大故障5工作日内解决</w:t>
            </w:r>
          </w:p>
        </w:tc>
        <w:tc>
          <w:tcPr>
            <w:tcW w:w="1154" w:type="pct"/>
            <w:tcBorders>
              <w:top w:val="single" w:color="auto" w:sz="4" w:space="0"/>
              <w:left w:val="single" w:color="auto" w:sz="4" w:space="0"/>
              <w:bottom w:val="single" w:color="auto" w:sz="4" w:space="0"/>
              <w:right w:val="single" w:color="auto" w:sz="4" w:space="0"/>
            </w:tcBorders>
            <w:shd w:val="clear" w:color="auto" w:fill="auto"/>
            <w:vAlign w:val="center"/>
          </w:tcPr>
          <w:p w14:paraId="32D8D58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超时1次扣2分，未解决扣5分</w:t>
            </w:r>
          </w:p>
        </w:tc>
        <w:tc>
          <w:tcPr>
            <w:tcW w:w="577" w:type="pct"/>
            <w:tcBorders>
              <w:top w:val="single" w:color="auto" w:sz="4" w:space="0"/>
              <w:left w:val="single" w:color="auto" w:sz="4" w:space="0"/>
              <w:bottom w:val="single" w:color="auto" w:sz="4" w:space="0"/>
              <w:right w:val="single" w:color="auto" w:sz="4" w:space="0"/>
            </w:tcBorders>
            <w:shd w:val="clear" w:color="auto" w:fill="auto"/>
            <w:vAlign w:val="top"/>
          </w:tcPr>
          <w:p w14:paraId="5E302D52">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c>
          <w:tcPr>
            <w:tcW w:w="959" w:type="pct"/>
            <w:tcBorders>
              <w:top w:val="single" w:color="auto" w:sz="4" w:space="0"/>
              <w:left w:val="single" w:color="auto" w:sz="4" w:space="0"/>
              <w:bottom w:val="single" w:color="auto" w:sz="4" w:space="0"/>
              <w:right w:val="single" w:color="auto" w:sz="4" w:space="0"/>
            </w:tcBorders>
            <w:shd w:val="clear" w:color="auto" w:fill="auto"/>
            <w:vAlign w:val="top"/>
          </w:tcPr>
          <w:p w14:paraId="7EE405B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r>
      <w:tr w14:paraId="1BE6A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6" w:type="pct"/>
            <w:vMerge w:val="continue"/>
            <w:tcBorders>
              <w:top w:val="nil"/>
              <w:left w:val="single" w:color="auto" w:sz="4" w:space="0"/>
              <w:bottom w:val="single" w:color="auto" w:sz="4" w:space="0"/>
              <w:right w:val="single" w:color="auto" w:sz="4" w:space="0"/>
            </w:tcBorders>
            <w:shd w:val="clear" w:color="auto" w:fill="auto"/>
            <w:vAlign w:val="center"/>
          </w:tcPr>
          <w:p w14:paraId="24E09E86">
            <w:pPr>
              <w:keepNext w:val="0"/>
              <w:keepLines w:val="0"/>
              <w:suppressLineNumbers w:val="0"/>
              <w:spacing w:before="0" w:beforeAutospacing="0" w:after="0" w:afterAutospacing="0"/>
              <w:ind w:left="0" w:right="0"/>
              <w:jc w:val="both"/>
              <w:rPr>
                <w:rFonts w:hint="eastAsia" w:ascii="宋体" w:hAnsi="宋体" w:eastAsia="宋体" w:cs="宋体"/>
                <w:color w:val="auto"/>
                <w:sz w:val="21"/>
                <w:szCs w:val="21"/>
              </w:rPr>
            </w:pP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4AB7E6B6">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抢修响应（5分）</w:t>
            </w:r>
          </w:p>
        </w:tc>
        <w:tc>
          <w:tcPr>
            <w:tcW w:w="1100" w:type="pct"/>
            <w:tcBorders>
              <w:top w:val="single" w:color="auto" w:sz="4" w:space="0"/>
              <w:left w:val="single" w:color="auto" w:sz="4" w:space="0"/>
              <w:bottom w:val="single" w:color="auto" w:sz="4" w:space="0"/>
              <w:right w:val="single" w:color="auto" w:sz="4" w:space="0"/>
            </w:tcBorders>
            <w:shd w:val="clear" w:color="auto" w:fill="auto"/>
            <w:vAlign w:val="center"/>
          </w:tcPr>
          <w:p w14:paraId="7F56D8C2">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接报紧急故障后2小时内到达现场</w:t>
            </w:r>
          </w:p>
        </w:tc>
        <w:tc>
          <w:tcPr>
            <w:tcW w:w="1154" w:type="pct"/>
            <w:tcBorders>
              <w:top w:val="single" w:color="auto" w:sz="4" w:space="0"/>
              <w:left w:val="single" w:color="auto" w:sz="4" w:space="0"/>
              <w:bottom w:val="single" w:color="auto" w:sz="4" w:space="0"/>
              <w:right w:val="single" w:color="auto" w:sz="4" w:space="0"/>
            </w:tcBorders>
            <w:shd w:val="clear" w:color="auto" w:fill="auto"/>
            <w:vAlign w:val="center"/>
          </w:tcPr>
          <w:p w14:paraId="1BCE7AE4">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超时1次扣5分</w:t>
            </w:r>
          </w:p>
        </w:tc>
        <w:tc>
          <w:tcPr>
            <w:tcW w:w="577" w:type="pct"/>
            <w:tcBorders>
              <w:top w:val="single" w:color="auto" w:sz="4" w:space="0"/>
              <w:left w:val="single" w:color="auto" w:sz="4" w:space="0"/>
              <w:bottom w:val="single" w:color="auto" w:sz="4" w:space="0"/>
              <w:right w:val="single" w:color="auto" w:sz="4" w:space="0"/>
            </w:tcBorders>
            <w:shd w:val="clear" w:color="auto" w:fill="auto"/>
            <w:vAlign w:val="top"/>
          </w:tcPr>
          <w:p w14:paraId="5FB1468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c>
          <w:tcPr>
            <w:tcW w:w="959" w:type="pct"/>
            <w:tcBorders>
              <w:top w:val="single" w:color="auto" w:sz="4" w:space="0"/>
              <w:left w:val="single" w:color="auto" w:sz="4" w:space="0"/>
              <w:bottom w:val="single" w:color="auto" w:sz="4" w:space="0"/>
              <w:right w:val="single" w:color="auto" w:sz="4" w:space="0"/>
            </w:tcBorders>
            <w:shd w:val="clear" w:color="auto" w:fill="auto"/>
            <w:vAlign w:val="top"/>
          </w:tcPr>
          <w:p w14:paraId="41B3B03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r>
      <w:tr w14:paraId="6B940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6" w:type="pct"/>
            <w:vMerge w:val="continue"/>
            <w:tcBorders>
              <w:top w:val="nil"/>
              <w:left w:val="single" w:color="auto" w:sz="4" w:space="0"/>
              <w:bottom w:val="single" w:color="auto" w:sz="4" w:space="0"/>
              <w:right w:val="single" w:color="auto" w:sz="4" w:space="0"/>
            </w:tcBorders>
            <w:shd w:val="clear" w:color="auto" w:fill="auto"/>
            <w:vAlign w:val="center"/>
          </w:tcPr>
          <w:p w14:paraId="0BE4E38F">
            <w:pPr>
              <w:keepNext w:val="0"/>
              <w:keepLines w:val="0"/>
              <w:suppressLineNumbers w:val="0"/>
              <w:spacing w:before="0" w:beforeAutospacing="0" w:after="0" w:afterAutospacing="0"/>
              <w:ind w:left="0" w:right="0"/>
              <w:jc w:val="both"/>
              <w:rPr>
                <w:rFonts w:hint="eastAsia" w:ascii="宋体" w:hAnsi="宋体" w:eastAsia="宋体" w:cs="宋体"/>
                <w:color w:val="auto"/>
                <w:sz w:val="21"/>
                <w:szCs w:val="21"/>
              </w:rPr>
            </w:pP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39C50F70">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演练配合（5分）</w:t>
            </w:r>
          </w:p>
        </w:tc>
        <w:tc>
          <w:tcPr>
            <w:tcW w:w="1100" w:type="pct"/>
            <w:tcBorders>
              <w:top w:val="single" w:color="auto" w:sz="4" w:space="0"/>
              <w:left w:val="single" w:color="auto" w:sz="4" w:space="0"/>
              <w:bottom w:val="single" w:color="auto" w:sz="4" w:space="0"/>
              <w:right w:val="single" w:color="auto" w:sz="4" w:space="0"/>
            </w:tcBorders>
            <w:shd w:val="clear" w:color="auto" w:fill="auto"/>
            <w:vAlign w:val="center"/>
          </w:tcPr>
          <w:p w14:paraId="24AD373C">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配合甲方消防演练，设备联动正常</w:t>
            </w:r>
          </w:p>
        </w:tc>
        <w:tc>
          <w:tcPr>
            <w:tcW w:w="1154" w:type="pct"/>
            <w:tcBorders>
              <w:top w:val="single" w:color="auto" w:sz="4" w:space="0"/>
              <w:left w:val="single" w:color="auto" w:sz="4" w:space="0"/>
              <w:bottom w:val="single" w:color="auto" w:sz="4" w:space="0"/>
              <w:right w:val="single" w:color="auto" w:sz="4" w:space="0"/>
            </w:tcBorders>
            <w:shd w:val="clear" w:color="auto" w:fill="auto"/>
            <w:vAlign w:val="center"/>
          </w:tcPr>
          <w:p w14:paraId="2077992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不配合扣5分，联动失败1项扣2分</w:t>
            </w:r>
          </w:p>
        </w:tc>
        <w:tc>
          <w:tcPr>
            <w:tcW w:w="577" w:type="pct"/>
            <w:tcBorders>
              <w:top w:val="single" w:color="auto" w:sz="4" w:space="0"/>
              <w:left w:val="single" w:color="auto" w:sz="4" w:space="0"/>
              <w:bottom w:val="single" w:color="auto" w:sz="4" w:space="0"/>
              <w:right w:val="single" w:color="auto" w:sz="4" w:space="0"/>
            </w:tcBorders>
            <w:shd w:val="clear" w:color="auto" w:fill="auto"/>
            <w:vAlign w:val="top"/>
          </w:tcPr>
          <w:p w14:paraId="12EBD2F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c>
          <w:tcPr>
            <w:tcW w:w="959" w:type="pct"/>
            <w:tcBorders>
              <w:top w:val="single" w:color="auto" w:sz="4" w:space="0"/>
              <w:left w:val="single" w:color="auto" w:sz="4" w:space="0"/>
              <w:bottom w:val="single" w:color="auto" w:sz="4" w:space="0"/>
              <w:right w:val="single" w:color="auto" w:sz="4" w:space="0"/>
            </w:tcBorders>
            <w:shd w:val="clear" w:color="auto" w:fill="auto"/>
            <w:vAlign w:val="top"/>
          </w:tcPr>
          <w:p w14:paraId="11263E7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r>
      <w:tr w14:paraId="31017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6" w:type="pct"/>
            <w:vMerge w:val="restart"/>
            <w:tcBorders>
              <w:top w:val="nil"/>
              <w:left w:val="single" w:color="auto" w:sz="4" w:space="0"/>
              <w:bottom w:val="single" w:color="auto" w:sz="4" w:space="0"/>
              <w:right w:val="single" w:color="auto" w:sz="4" w:space="0"/>
            </w:tcBorders>
            <w:shd w:val="clear" w:color="auto" w:fill="auto"/>
            <w:vAlign w:val="center"/>
          </w:tcPr>
          <w:p w14:paraId="5569A589">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rPr>
            </w:pPr>
            <w:r>
              <w:rPr>
                <w:rFonts w:hint="eastAsia" w:ascii="宋体" w:hAnsi="宋体" w:eastAsia="宋体" w:cs="宋体"/>
                <w:b/>
                <w:bCs w:val="0"/>
                <w:color w:val="auto"/>
                <w:kern w:val="2"/>
                <w:sz w:val="21"/>
                <w:szCs w:val="21"/>
                <w:lang w:val="en-US" w:eastAsia="zh-CN" w:bidi="ar"/>
              </w:rPr>
              <w:t>四、智慧消防要求（15分）</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14172239">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系统部署（5分）</w:t>
            </w:r>
          </w:p>
        </w:tc>
        <w:tc>
          <w:tcPr>
            <w:tcW w:w="1100" w:type="pct"/>
            <w:tcBorders>
              <w:top w:val="single" w:color="auto" w:sz="4" w:space="0"/>
              <w:left w:val="single" w:color="auto" w:sz="4" w:space="0"/>
              <w:bottom w:val="single" w:color="auto" w:sz="4" w:space="0"/>
              <w:right w:val="single" w:color="auto" w:sz="4" w:space="0"/>
            </w:tcBorders>
            <w:shd w:val="clear" w:color="auto" w:fill="auto"/>
            <w:vAlign w:val="center"/>
          </w:tcPr>
          <w:p w14:paraId="403292C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是否部署智慧消防软硬件（设备监控、数据平台）</w:t>
            </w:r>
          </w:p>
        </w:tc>
        <w:tc>
          <w:tcPr>
            <w:tcW w:w="1154" w:type="pct"/>
            <w:tcBorders>
              <w:top w:val="single" w:color="auto" w:sz="4" w:space="0"/>
              <w:left w:val="single" w:color="auto" w:sz="4" w:space="0"/>
              <w:bottom w:val="single" w:color="auto" w:sz="4" w:space="0"/>
              <w:right w:val="single" w:color="auto" w:sz="4" w:space="0"/>
            </w:tcBorders>
            <w:shd w:val="clear" w:color="auto" w:fill="auto"/>
            <w:vAlign w:val="center"/>
          </w:tcPr>
          <w:p w14:paraId="3239FA03">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未部署扣5分</w:t>
            </w:r>
          </w:p>
        </w:tc>
        <w:tc>
          <w:tcPr>
            <w:tcW w:w="577" w:type="pct"/>
            <w:tcBorders>
              <w:top w:val="single" w:color="auto" w:sz="4" w:space="0"/>
              <w:left w:val="single" w:color="auto" w:sz="4" w:space="0"/>
              <w:bottom w:val="single" w:color="auto" w:sz="4" w:space="0"/>
              <w:right w:val="single" w:color="auto" w:sz="4" w:space="0"/>
            </w:tcBorders>
            <w:shd w:val="clear" w:color="auto" w:fill="auto"/>
            <w:vAlign w:val="top"/>
          </w:tcPr>
          <w:p w14:paraId="6192579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c>
          <w:tcPr>
            <w:tcW w:w="959" w:type="pct"/>
            <w:tcBorders>
              <w:top w:val="single" w:color="auto" w:sz="4" w:space="0"/>
              <w:left w:val="single" w:color="auto" w:sz="4" w:space="0"/>
              <w:bottom w:val="single" w:color="auto" w:sz="4" w:space="0"/>
              <w:right w:val="single" w:color="auto" w:sz="4" w:space="0"/>
            </w:tcBorders>
            <w:shd w:val="clear" w:color="auto" w:fill="auto"/>
            <w:vAlign w:val="top"/>
          </w:tcPr>
          <w:p w14:paraId="7BC5783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r>
      <w:tr w14:paraId="5E256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6" w:type="pct"/>
            <w:vMerge w:val="continue"/>
            <w:tcBorders>
              <w:top w:val="nil"/>
              <w:left w:val="single" w:color="auto" w:sz="4" w:space="0"/>
              <w:bottom w:val="single" w:color="auto" w:sz="4" w:space="0"/>
              <w:right w:val="single" w:color="auto" w:sz="4" w:space="0"/>
            </w:tcBorders>
            <w:shd w:val="clear" w:color="auto" w:fill="auto"/>
            <w:vAlign w:val="center"/>
          </w:tcPr>
          <w:p w14:paraId="5D58E6B9">
            <w:pPr>
              <w:keepNext w:val="0"/>
              <w:keepLines w:val="0"/>
              <w:suppressLineNumbers w:val="0"/>
              <w:spacing w:before="0" w:beforeAutospacing="0" w:after="0" w:afterAutospacing="0"/>
              <w:ind w:left="0" w:right="0"/>
              <w:jc w:val="both"/>
              <w:rPr>
                <w:rFonts w:hint="eastAsia" w:ascii="宋体" w:hAnsi="宋体" w:eastAsia="宋体" w:cs="宋体"/>
                <w:color w:val="auto"/>
                <w:sz w:val="21"/>
                <w:szCs w:val="21"/>
              </w:rPr>
            </w:pP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4AB56576">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数据上传（5分）</w:t>
            </w:r>
          </w:p>
        </w:tc>
        <w:tc>
          <w:tcPr>
            <w:tcW w:w="1100" w:type="pct"/>
            <w:tcBorders>
              <w:top w:val="single" w:color="auto" w:sz="4" w:space="0"/>
              <w:left w:val="single" w:color="auto" w:sz="4" w:space="0"/>
              <w:bottom w:val="single" w:color="auto" w:sz="4" w:space="0"/>
              <w:right w:val="single" w:color="auto" w:sz="4" w:space="0"/>
            </w:tcBorders>
            <w:shd w:val="clear" w:color="auto" w:fill="auto"/>
            <w:vAlign w:val="center"/>
          </w:tcPr>
          <w:p w14:paraId="6319940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设备状态数据是否实时上传，无中断</w:t>
            </w:r>
          </w:p>
        </w:tc>
        <w:tc>
          <w:tcPr>
            <w:tcW w:w="1154" w:type="pct"/>
            <w:tcBorders>
              <w:top w:val="single" w:color="auto" w:sz="4" w:space="0"/>
              <w:left w:val="single" w:color="auto" w:sz="4" w:space="0"/>
              <w:bottom w:val="single" w:color="auto" w:sz="4" w:space="0"/>
              <w:right w:val="single" w:color="auto" w:sz="4" w:space="0"/>
            </w:tcBorders>
            <w:shd w:val="clear" w:color="auto" w:fill="auto"/>
            <w:vAlign w:val="center"/>
          </w:tcPr>
          <w:p w14:paraId="17E5E525">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中断1次扣2分，数据缺失1项扣1分</w:t>
            </w:r>
          </w:p>
        </w:tc>
        <w:tc>
          <w:tcPr>
            <w:tcW w:w="577" w:type="pct"/>
            <w:tcBorders>
              <w:top w:val="single" w:color="auto" w:sz="4" w:space="0"/>
              <w:left w:val="single" w:color="auto" w:sz="4" w:space="0"/>
              <w:bottom w:val="single" w:color="auto" w:sz="4" w:space="0"/>
              <w:right w:val="single" w:color="auto" w:sz="4" w:space="0"/>
            </w:tcBorders>
            <w:shd w:val="clear" w:color="auto" w:fill="auto"/>
            <w:vAlign w:val="top"/>
          </w:tcPr>
          <w:p w14:paraId="6A900F59">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c>
          <w:tcPr>
            <w:tcW w:w="959" w:type="pct"/>
            <w:tcBorders>
              <w:top w:val="single" w:color="auto" w:sz="4" w:space="0"/>
              <w:left w:val="single" w:color="auto" w:sz="4" w:space="0"/>
              <w:bottom w:val="single" w:color="auto" w:sz="4" w:space="0"/>
              <w:right w:val="single" w:color="auto" w:sz="4" w:space="0"/>
            </w:tcBorders>
            <w:shd w:val="clear" w:color="auto" w:fill="auto"/>
            <w:vAlign w:val="top"/>
          </w:tcPr>
          <w:p w14:paraId="07B2F87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r>
      <w:tr w14:paraId="4CB46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6" w:type="pct"/>
            <w:vMerge w:val="continue"/>
            <w:tcBorders>
              <w:top w:val="nil"/>
              <w:left w:val="single" w:color="auto" w:sz="4" w:space="0"/>
              <w:bottom w:val="single" w:color="auto" w:sz="4" w:space="0"/>
              <w:right w:val="single" w:color="auto" w:sz="4" w:space="0"/>
            </w:tcBorders>
            <w:shd w:val="clear" w:color="auto" w:fill="auto"/>
            <w:vAlign w:val="center"/>
          </w:tcPr>
          <w:p w14:paraId="0D408EC0">
            <w:pPr>
              <w:keepNext w:val="0"/>
              <w:keepLines w:val="0"/>
              <w:suppressLineNumbers w:val="0"/>
              <w:spacing w:before="0" w:beforeAutospacing="0" w:after="0" w:afterAutospacing="0"/>
              <w:ind w:left="0" w:right="0"/>
              <w:jc w:val="both"/>
              <w:rPr>
                <w:rFonts w:hint="eastAsia" w:ascii="宋体" w:hAnsi="宋体" w:eastAsia="宋体" w:cs="宋体"/>
                <w:color w:val="auto"/>
                <w:sz w:val="21"/>
                <w:szCs w:val="21"/>
              </w:rPr>
            </w:pP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44AF48CE">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功能完整性（5分）</w:t>
            </w:r>
          </w:p>
        </w:tc>
        <w:tc>
          <w:tcPr>
            <w:tcW w:w="1100" w:type="pct"/>
            <w:tcBorders>
              <w:top w:val="single" w:color="auto" w:sz="4" w:space="0"/>
              <w:left w:val="single" w:color="auto" w:sz="4" w:space="0"/>
              <w:bottom w:val="single" w:color="auto" w:sz="4" w:space="0"/>
              <w:right w:val="single" w:color="auto" w:sz="4" w:space="0"/>
            </w:tcBorders>
            <w:shd w:val="clear" w:color="auto" w:fill="auto"/>
            <w:vAlign w:val="center"/>
          </w:tcPr>
          <w:p w14:paraId="598D063C">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是否具备故障预警、远程监控等智慧消防功能</w:t>
            </w:r>
          </w:p>
        </w:tc>
        <w:tc>
          <w:tcPr>
            <w:tcW w:w="1154" w:type="pct"/>
            <w:tcBorders>
              <w:top w:val="single" w:color="auto" w:sz="4" w:space="0"/>
              <w:left w:val="single" w:color="auto" w:sz="4" w:space="0"/>
              <w:bottom w:val="single" w:color="auto" w:sz="4" w:space="0"/>
              <w:right w:val="single" w:color="auto" w:sz="4" w:space="0"/>
            </w:tcBorders>
            <w:shd w:val="clear" w:color="auto" w:fill="auto"/>
            <w:vAlign w:val="center"/>
          </w:tcPr>
          <w:p w14:paraId="3CFCC2E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缺失1项功能扣2分，功能异常1处扣1分</w:t>
            </w:r>
          </w:p>
        </w:tc>
        <w:tc>
          <w:tcPr>
            <w:tcW w:w="577" w:type="pct"/>
            <w:tcBorders>
              <w:top w:val="single" w:color="auto" w:sz="4" w:space="0"/>
              <w:left w:val="single" w:color="auto" w:sz="4" w:space="0"/>
              <w:bottom w:val="single" w:color="auto" w:sz="4" w:space="0"/>
              <w:right w:val="single" w:color="auto" w:sz="4" w:space="0"/>
            </w:tcBorders>
            <w:shd w:val="clear" w:color="auto" w:fill="auto"/>
            <w:vAlign w:val="top"/>
          </w:tcPr>
          <w:p w14:paraId="57301903">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c>
          <w:tcPr>
            <w:tcW w:w="959" w:type="pct"/>
            <w:tcBorders>
              <w:top w:val="single" w:color="auto" w:sz="4" w:space="0"/>
              <w:left w:val="single" w:color="auto" w:sz="4" w:space="0"/>
              <w:bottom w:val="single" w:color="auto" w:sz="4" w:space="0"/>
              <w:right w:val="single" w:color="auto" w:sz="4" w:space="0"/>
            </w:tcBorders>
            <w:shd w:val="clear" w:color="auto" w:fill="auto"/>
            <w:vAlign w:val="top"/>
          </w:tcPr>
          <w:p w14:paraId="5572DA87">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r>
      <w:tr w14:paraId="01D29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tcBorders>
              <w:top w:val="single" w:color="auto" w:sz="4" w:space="0"/>
              <w:left w:val="single" w:color="auto" w:sz="4" w:space="0"/>
              <w:bottom w:val="single" w:color="auto" w:sz="4" w:space="0"/>
              <w:right w:val="single" w:color="auto" w:sz="4" w:space="0"/>
            </w:tcBorders>
            <w:shd w:val="clear" w:color="auto" w:fill="auto"/>
            <w:vAlign w:val="top"/>
          </w:tcPr>
          <w:p w14:paraId="03942D0C">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总分：</w:t>
            </w:r>
          </w:p>
        </w:tc>
      </w:tr>
    </w:tbl>
    <w:p w14:paraId="016EE0B3">
      <w:pPr>
        <w:pStyle w:val="6"/>
        <w:spacing w:line="360" w:lineRule="exact"/>
        <w:ind w:firstLine="480"/>
        <w:rPr>
          <w:rFonts w:hint="default"/>
          <w:color w:val="auto"/>
          <w:sz w:val="21"/>
          <w:szCs w:val="21"/>
        </w:rPr>
      </w:pPr>
      <w:r>
        <w:rPr>
          <w:rFonts w:hint="default"/>
          <w:color w:val="auto"/>
          <w:sz w:val="21"/>
          <w:szCs w:val="21"/>
          <w:lang w:val="en-US" w:eastAsia="zh-CN"/>
        </w:rPr>
        <w:t>1.</w:t>
      </w:r>
      <w:r>
        <w:rPr>
          <w:rFonts w:hint="eastAsia"/>
          <w:color w:val="auto"/>
          <w:sz w:val="21"/>
          <w:szCs w:val="21"/>
          <w:lang w:val="en-US" w:eastAsia="zh-CN"/>
        </w:rPr>
        <w:t>评分规则：每项检查内容按实际情况扣分，扣完该项目满分为止；优秀（</w:t>
      </w:r>
      <w:r>
        <w:rPr>
          <w:rFonts w:hint="default"/>
          <w:color w:val="auto"/>
          <w:sz w:val="21"/>
          <w:szCs w:val="21"/>
          <w:lang w:val="en-US" w:eastAsia="zh-CN"/>
        </w:rPr>
        <w:t>≥90</w:t>
      </w:r>
      <w:r>
        <w:rPr>
          <w:rFonts w:hint="eastAsia"/>
          <w:color w:val="auto"/>
          <w:sz w:val="21"/>
          <w:szCs w:val="21"/>
          <w:lang w:val="en-US" w:eastAsia="zh-CN"/>
        </w:rPr>
        <w:t>分）、</w:t>
      </w:r>
      <w:r>
        <w:rPr>
          <w:rFonts w:hint="default"/>
          <w:color w:val="auto"/>
          <w:sz w:val="21"/>
          <w:szCs w:val="21"/>
          <w:lang w:val="en-US" w:eastAsia="zh-CN"/>
        </w:rPr>
        <w:t xml:space="preserve"> </w:t>
      </w:r>
      <w:r>
        <w:rPr>
          <w:rFonts w:hint="eastAsia"/>
          <w:color w:val="auto"/>
          <w:sz w:val="21"/>
          <w:szCs w:val="21"/>
          <w:lang w:val="en-US" w:eastAsia="zh-CN"/>
        </w:rPr>
        <w:t>合格（</w:t>
      </w:r>
      <w:r>
        <w:rPr>
          <w:rFonts w:hint="default"/>
          <w:color w:val="auto"/>
          <w:sz w:val="21"/>
          <w:szCs w:val="21"/>
          <w:lang w:val="en-US" w:eastAsia="zh-CN"/>
        </w:rPr>
        <w:t>70-89</w:t>
      </w:r>
      <w:r>
        <w:rPr>
          <w:rFonts w:hint="eastAsia"/>
          <w:color w:val="auto"/>
          <w:sz w:val="21"/>
          <w:szCs w:val="21"/>
          <w:lang w:val="en-US" w:eastAsia="zh-CN"/>
        </w:rPr>
        <w:t>分） 、不合格（＜</w:t>
      </w:r>
      <w:r>
        <w:rPr>
          <w:rFonts w:hint="default"/>
          <w:color w:val="auto"/>
          <w:sz w:val="21"/>
          <w:szCs w:val="21"/>
          <w:lang w:val="en-US" w:eastAsia="zh-CN"/>
        </w:rPr>
        <w:t>70</w:t>
      </w:r>
      <w:r>
        <w:rPr>
          <w:rFonts w:hint="eastAsia"/>
          <w:color w:val="auto"/>
          <w:sz w:val="21"/>
          <w:szCs w:val="21"/>
          <w:lang w:val="en-US" w:eastAsia="zh-CN"/>
        </w:rPr>
        <w:t>分）</w:t>
      </w:r>
    </w:p>
    <w:p w14:paraId="101EDC0B">
      <w:pPr>
        <w:pStyle w:val="6"/>
        <w:spacing w:line="360" w:lineRule="exact"/>
        <w:ind w:firstLine="480"/>
        <w:rPr>
          <w:rFonts w:hint="eastAsia" w:ascii="宋体" w:hAnsi="宋体" w:cs="宋体"/>
          <w:b/>
          <w:color w:val="auto"/>
          <w:kern w:val="0"/>
          <w:sz w:val="21"/>
          <w:szCs w:val="21"/>
        </w:rPr>
      </w:pPr>
      <w:r>
        <w:rPr>
          <w:rFonts w:hint="default"/>
          <w:color w:val="auto"/>
          <w:sz w:val="21"/>
          <w:szCs w:val="21"/>
        </w:rPr>
        <w:t>2.</w:t>
      </w:r>
      <w:r>
        <w:rPr>
          <w:rFonts w:hint="eastAsia"/>
          <w:color w:val="auto"/>
          <w:sz w:val="21"/>
          <w:szCs w:val="21"/>
        </w:rPr>
        <w:t>不合格项需在</w:t>
      </w:r>
      <w:r>
        <w:rPr>
          <w:rFonts w:hint="default"/>
          <w:color w:val="auto"/>
          <w:sz w:val="21"/>
          <w:szCs w:val="21"/>
        </w:rPr>
        <w:t>“</w:t>
      </w:r>
      <w:r>
        <w:rPr>
          <w:rFonts w:hint="eastAsia"/>
          <w:color w:val="auto"/>
          <w:sz w:val="21"/>
          <w:szCs w:val="21"/>
        </w:rPr>
        <w:t>备注</w:t>
      </w:r>
      <w:r>
        <w:rPr>
          <w:rFonts w:hint="default"/>
          <w:color w:val="auto"/>
          <w:sz w:val="21"/>
          <w:szCs w:val="21"/>
        </w:rPr>
        <w:t>”</w:t>
      </w:r>
      <w:r>
        <w:rPr>
          <w:rFonts w:hint="eastAsia"/>
          <w:color w:val="auto"/>
          <w:sz w:val="21"/>
          <w:szCs w:val="21"/>
        </w:rPr>
        <w:t>栏注明具体问题，维保单位需在规定时间内完成整改并反馈。</w:t>
      </w:r>
      <w:r>
        <w:rPr>
          <w:rFonts w:hint="eastAsia" w:ascii="宋体" w:hAnsi="宋体" w:cs="宋体"/>
          <w:b/>
          <w:color w:val="auto"/>
          <w:kern w:val="0"/>
          <w:sz w:val="21"/>
          <w:szCs w:val="21"/>
        </w:rPr>
        <w:br w:type="page"/>
      </w:r>
    </w:p>
    <w:p w14:paraId="554788C4">
      <w:pPr>
        <w:outlineLvl w:val="1"/>
        <w:rPr>
          <w:b/>
          <w:color w:val="auto"/>
          <w:sz w:val="21"/>
          <w:szCs w:val="21"/>
        </w:rPr>
      </w:pPr>
      <w:r>
        <w:rPr>
          <w:rFonts w:hint="eastAsia" w:ascii="宋体" w:hAnsi="宋体" w:cs="宋体"/>
          <w:b/>
          <w:color w:val="auto"/>
          <w:kern w:val="0"/>
          <w:sz w:val="21"/>
          <w:szCs w:val="21"/>
        </w:rPr>
        <w:t>附件：1.供应商资格声明函</w:t>
      </w:r>
    </w:p>
    <w:p w14:paraId="7D0EAA04">
      <w:pPr>
        <w:pStyle w:val="6"/>
        <w:spacing w:line="460" w:lineRule="exact"/>
        <w:ind w:firstLine="0"/>
        <w:jc w:val="center"/>
        <w:rPr>
          <w:color w:val="auto"/>
          <w:sz w:val="21"/>
          <w:szCs w:val="21"/>
        </w:rPr>
      </w:pPr>
      <w:r>
        <w:rPr>
          <w:rFonts w:hint="eastAsia"/>
          <w:b/>
          <w:color w:val="auto"/>
          <w:sz w:val="21"/>
          <w:szCs w:val="21"/>
        </w:rPr>
        <w:t>供应商资格声明函</w:t>
      </w:r>
    </w:p>
    <w:p w14:paraId="04441D49">
      <w:pPr>
        <w:pStyle w:val="6"/>
        <w:spacing w:line="360" w:lineRule="exact"/>
        <w:ind w:firstLine="0"/>
        <w:rPr>
          <w:color w:val="auto"/>
          <w:sz w:val="21"/>
          <w:szCs w:val="21"/>
        </w:rPr>
      </w:pPr>
    </w:p>
    <w:p w14:paraId="2C8E4A14">
      <w:pPr>
        <w:pStyle w:val="6"/>
        <w:spacing w:line="360" w:lineRule="exact"/>
        <w:ind w:firstLine="0"/>
        <w:rPr>
          <w:color w:val="auto"/>
          <w:sz w:val="21"/>
          <w:szCs w:val="21"/>
        </w:rPr>
      </w:pPr>
      <w:r>
        <w:rPr>
          <w:rFonts w:hint="eastAsia"/>
          <w:color w:val="auto"/>
          <w:sz w:val="21"/>
          <w:szCs w:val="21"/>
        </w:rPr>
        <w:t>采购人名称、常州市城投建设工程招标有限公司：</w:t>
      </w:r>
    </w:p>
    <w:p w14:paraId="5A27349C">
      <w:pPr>
        <w:pStyle w:val="6"/>
        <w:spacing w:line="360" w:lineRule="exact"/>
        <w:ind w:firstLine="480"/>
        <w:rPr>
          <w:color w:val="auto"/>
          <w:sz w:val="21"/>
          <w:szCs w:val="21"/>
        </w:rPr>
      </w:pPr>
      <w:r>
        <w:rPr>
          <w:rFonts w:hint="eastAsia"/>
          <w:color w:val="auto"/>
          <w:sz w:val="21"/>
          <w:szCs w:val="21"/>
        </w:rPr>
        <w:t>按照询价通知书要求的“申请人的资格要求”，我单位郑重声明如下：</w:t>
      </w:r>
    </w:p>
    <w:p w14:paraId="51EBC009">
      <w:pPr>
        <w:pStyle w:val="6"/>
        <w:spacing w:line="360" w:lineRule="exact"/>
        <w:ind w:firstLine="480"/>
        <w:rPr>
          <w:color w:val="auto"/>
          <w:sz w:val="21"/>
          <w:szCs w:val="21"/>
        </w:rPr>
      </w:pPr>
      <w:r>
        <w:rPr>
          <w:rFonts w:hint="eastAsia"/>
          <w:color w:val="auto"/>
          <w:sz w:val="21"/>
          <w:szCs w:val="21"/>
        </w:rPr>
        <w:t>一、我单位是按照中华人民共和国法律规定登记注册的，注册地点为</w:t>
      </w:r>
      <w:r>
        <w:rPr>
          <w:color w:val="auto"/>
          <w:sz w:val="21"/>
          <w:szCs w:val="21"/>
          <w:u w:val="single"/>
        </w:rPr>
        <w:t xml:space="preserve">         </w:t>
      </w:r>
      <w:r>
        <w:rPr>
          <w:rFonts w:hint="eastAsia"/>
          <w:color w:val="auto"/>
          <w:sz w:val="21"/>
          <w:szCs w:val="21"/>
        </w:rPr>
        <w:t>，全称为</w:t>
      </w:r>
      <w:r>
        <w:rPr>
          <w:color w:val="auto"/>
          <w:sz w:val="21"/>
          <w:szCs w:val="21"/>
          <w:u w:val="single"/>
        </w:rPr>
        <w:t xml:space="preserve">        </w:t>
      </w:r>
      <w:r>
        <w:rPr>
          <w:rFonts w:hint="eastAsia"/>
          <w:color w:val="auto"/>
          <w:sz w:val="21"/>
          <w:szCs w:val="21"/>
        </w:rPr>
        <w:t>，统一社会信用代码为</w:t>
      </w:r>
      <w:r>
        <w:rPr>
          <w:color w:val="auto"/>
          <w:sz w:val="21"/>
          <w:szCs w:val="21"/>
          <w:u w:val="single"/>
        </w:rPr>
        <w:t xml:space="preserve">           </w:t>
      </w:r>
      <w:r>
        <w:rPr>
          <w:color w:val="auto"/>
          <w:sz w:val="21"/>
          <w:szCs w:val="21"/>
        </w:rPr>
        <w:t xml:space="preserve"> </w:t>
      </w:r>
      <w:r>
        <w:rPr>
          <w:rFonts w:hint="eastAsia"/>
          <w:color w:val="auto"/>
          <w:sz w:val="21"/>
          <w:szCs w:val="21"/>
        </w:rPr>
        <w:t>，法定代表人（单位负责人）为</w:t>
      </w:r>
      <w:r>
        <w:rPr>
          <w:color w:val="auto"/>
          <w:sz w:val="21"/>
          <w:szCs w:val="21"/>
          <w:u w:val="single"/>
        </w:rPr>
        <w:t xml:space="preserve">         </w:t>
      </w:r>
      <w:r>
        <w:rPr>
          <w:rFonts w:hint="eastAsia"/>
          <w:color w:val="auto"/>
          <w:sz w:val="21"/>
          <w:szCs w:val="21"/>
        </w:rPr>
        <w:t>，具有独立承担民事责任的能力</w:t>
      </w:r>
      <w:r>
        <w:rPr>
          <w:rFonts w:hint="eastAsia"/>
          <w:b/>
          <w:color w:val="auto"/>
          <w:sz w:val="21"/>
          <w:szCs w:val="21"/>
        </w:rPr>
        <w:t>（如属于分公司经总公司授权参与项目，由总公司承担民事责任的，需提供总公司项目授权书）</w:t>
      </w:r>
      <w:r>
        <w:rPr>
          <w:rFonts w:hint="eastAsia"/>
          <w:color w:val="auto"/>
          <w:sz w:val="21"/>
          <w:szCs w:val="21"/>
        </w:rPr>
        <w:t>。</w:t>
      </w:r>
    </w:p>
    <w:p w14:paraId="4DA8271E">
      <w:pPr>
        <w:pStyle w:val="6"/>
        <w:spacing w:line="360" w:lineRule="exact"/>
        <w:ind w:firstLine="480"/>
        <w:rPr>
          <w:color w:val="auto"/>
          <w:sz w:val="21"/>
          <w:szCs w:val="21"/>
        </w:rPr>
      </w:pPr>
      <w:r>
        <w:rPr>
          <w:rFonts w:hint="eastAsia"/>
          <w:color w:val="auto"/>
          <w:sz w:val="21"/>
          <w:szCs w:val="21"/>
        </w:rPr>
        <w:t>二、我单位未被“国家企业信用信息系统”列入经营异常名录或者严重违法企业名单。</w:t>
      </w:r>
    </w:p>
    <w:p w14:paraId="771C652E">
      <w:pPr>
        <w:pStyle w:val="6"/>
        <w:spacing w:line="360" w:lineRule="exact"/>
        <w:ind w:firstLine="480"/>
        <w:rPr>
          <w:color w:val="auto"/>
          <w:sz w:val="21"/>
          <w:szCs w:val="21"/>
        </w:rPr>
      </w:pPr>
      <w:r>
        <w:rPr>
          <w:rFonts w:hint="eastAsia"/>
          <w:color w:val="auto"/>
          <w:sz w:val="21"/>
          <w:szCs w:val="21"/>
        </w:rPr>
        <w:t>三、我单位具有良好的商业信誉（指供应商经营状况良好，无本资格声明第十条情形）和健全的财务会计制度。</w:t>
      </w:r>
    </w:p>
    <w:p w14:paraId="2CFD0868">
      <w:pPr>
        <w:pStyle w:val="6"/>
        <w:spacing w:line="360" w:lineRule="exact"/>
        <w:ind w:firstLine="480"/>
        <w:rPr>
          <w:color w:val="auto"/>
          <w:sz w:val="21"/>
          <w:szCs w:val="21"/>
        </w:rPr>
      </w:pPr>
      <w:r>
        <w:rPr>
          <w:rFonts w:hint="eastAsia"/>
          <w:color w:val="auto"/>
          <w:sz w:val="21"/>
          <w:szCs w:val="21"/>
        </w:rPr>
        <w:t>四、我单位依法进行纳税和社会保险申报并实际履行了义务。</w:t>
      </w:r>
    </w:p>
    <w:p w14:paraId="407B7CEB">
      <w:pPr>
        <w:pStyle w:val="6"/>
        <w:spacing w:line="360" w:lineRule="exact"/>
        <w:ind w:firstLine="480"/>
        <w:rPr>
          <w:color w:val="auto"/>
          <w:sz w:val="21"/>
          <w:szCs w:val="21"/>
        </w:rPr>
      </w:pPr>
      <w:r>
        <w:rPr>
          <w:rFonts w:hint="eastAsia"/>
          <w:color w:val="auto"/>
          <w:sz w:val="21"/>
          <w:szCs w:val="21"/>
        </w:rPr>
        <w:t>五、我单位具有履行本项目采购合同所必需的设备和专业技术能力，并具有履行合同的良好记录。为履行本项采购合同我单位具备如下主要设备和主要专业技术能力</w:t>
      </w:r>
      <w:r>
        <w:rPr>
          <w:color w:val="auto"/>
          <w:sz w:val="21"/>
          <w:szCs w:val="21"/>
        </w:rPr>
        <w:t>:</w:t>
      </w:r>
    </w:p>
    <w:p w14:paraId="52C7963C">
      <w:pPr>
        <w:pStyle w:val="6"/>
        <w:spacing w:line="360" w:lineRule="exact"/>
        <w:ind w:firstLine="480"/>
        <w:rPr>
          <w:color w:val="auto"/>
          <w:sz w:val="21"/>
          <w:szCs w:val="21"/>
        </w:rPr>
      </w:pPr>
      <w:r>
        <w:rPr>
          <w:rFonts w:hint="eastAsia"/>
          <w:color w:val="auto"/>
          <w:sz w:val="21"/>
          <w:szCs w:val="21"/>
        </w:rPr>
        <w:t>主要设备有：</w:t>
      </w:r>
      <w:r>
        <w:rPr>
          <w:color w:val="auto"/>
          <w:sz w:val="21"/>
          <w:szCs w:val="21"/>
          <w:u w:val="single"/>
        </w:rPr>
        <w:t xml:space="preserve">            </w:t>
      </w:r>
    </w:p>
    <w:p w14:paraId="382D9791">
      <w:pPr>
        <w:pStyle w:val="6"/>
        <w:spacing w:line="360" w:lineRule="exact"/>
        <w:ind w:firstLine="480"/>
        <w:rPr>
          <w:color w:val="auto"/>
          <w:sz w:val="21"/>
          <w:szCs w:val="21"/>
        </w:rPr>
      </w:pPr>
      <w:r>
        <w:rPr>
          <w:rFonts w:hint="eastAsia"/>
          <w:color w:val="auto"/>
          <w:sz w:val="21"/>
          <w:szCs w:val="21"/>
        </w:rPr>
        <w:t>主要专业技术能力有</w:t>
      </w:r>
      <w:r>
        <w:rPr>
          <w:color w:val="auto"/>
          <w:sz w:val="21"/>
          <w:szCs w:val="21"/>
          <w:u w:val="single"/>
        </w:rPr>
        <w:t xml:space="preserve">                 </w:t>
      </w:r>
    </w:p>
    <w:p w14:paraId="795F144C">
      <w:pPr>
        <w:pStyle w:val="6"/>
        <w:spacing w:line="360" w:lineRule="exact"/>
        <w:ind w:firstLine="480"/>
        <w:rPr>
          <w:color w:val="auto"/>
          <w:sz w:val="21"/>
          <w:szCs w:val="21"/>
        </w:rPr>
      </w:pPr>
      <w:r>
        <w:rPr>
          <w:rFonts w:hint="eastAsia"/>
          <w:color w:val="auto"/>
          <w:sz w:val="21"/>
          <w:szCs w:val="21"/>
        </w:rPr>
        <w:t>六、我单位在参加采购项目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采购活动前</w:t>
      </w:r>
      <w:r>
        <w:rPr>
          <w:color w:val="auto"/>
          <w:sz w:val="21"/>
          <w:szCs w:val="21"/>
        </w:rPr>
        <w:t>3</w:t>
      </w:r>
      <w:r>
        <w:rPr>
          <w:rFonts w:hint="eastAsia"/>
          <w:color w:val="auto"/>
          <w:sz w:val="21"/>
          <w:szCs w:val="21"/>
        </w:rPr>
        <w:t>年内因违法经营被禁止在一定期限内参加采购活动，期限届满的，可以参加采购活动。）</w:t>
      </w:r>
    </w:p>
    <w:p w14:paraId="72D821AF">
      <w:pPr>
        <w:pStyle w:val="6"/>
        <w:spacing w:line="360" w:lineRule="exact"/>
        <w:ind w:firstLine="480"/>
        <w:rPr>
          <w:color w:val="auto"/>
          <w:sz w:val="21"/>
          <w:szCs w:val="21"/>
        </w:rPr>
      </w:pPr>
      <w:r>
        <w:rPr>
          <w:rFonts w:hint="eastAsia"/>
          <w:color w:val="auto"/>
          <w:sz w:val="21"/>
          <w:szCs w:val="21"/>
        </w:rPr>
        <w:t>七、我单位具备法律、行政法规规定的其他条件。</w:t>
      </w:r>
    </w:p>
    <w:p w14:paraId="69F54EBB">
      <w:pPr>
        <w:pStyle w:val="6"/>
        <w:spacing w:line="360" w:lineRule="exact"/>
        <w:ind w:firstLine="480"/>
        <w:rPr>
          <w:color w:val="auto"/>
          <w:sz w:val="21"/>
          <w:szCs w:val="21"/>
        </w:rPr>
      </w:pPr>
      <w:r>
        <w:rPr>
          <w:rFonts w:hint="eastAsia"/>
          <w:color w:val="auto"/>
          <w:sz w:val="21"/>
          <w:szCs w:val="21"/>
        </w:rPr>
        <w:t>八、与我单位存在“单位负责人为同一人或者存在直接控股、管理关系”的其他单位信息如下（如无此情形的，填写“无”）：</w:t>
      </w:r>
    </w:p>
    <w:p w14:paraId="5732693A">
      <w:pPr>
        <w:pStyle w:val="6"/>
        <w:spacing w:line="360" w:lineRule="exact"/>
        <w:ind w:firstLine="480"/>
        <w:rPr>
          <w:color w:val="auto"/>
          <w:sz w:val="21"/>
          <w:szCs w:val="21"/>
        </w:rPr>
      </w:pPr>
      <w:r>
        <w:rPr>
          <w:color w:val="auto"/>
          <w:sz w:val="21"/>
          <w:szCs w:val="21"/>
        </w:rPr>
        <w:t>1</w:t>
      </w:r>
      <w:r>
        <w:rPr>
          <w:rFonts w:hint="eastAsia"/>
          <w:color w:val="auto"/>
          <w:sz w:val="21"/>
          <w:szCs w:val="21"/>
        </w:rPr>
        <w:t>.与我单位的法定代表人（单位负责人）为同一人的其他单位如下：</w:t>
      </w:r>
      <w:r>
        <w:rPr>
          <w:color w:val="auto"/>
          <w:sz w:val="21"/>
          <w:szCs w:val="21"/>
          <w:u w:val="single"/>
        </w:rPr>
        <w:t xml:space="preserve">     </w:t>
      </w:r>
      <w:r>
        <w:rPr>
          <w:color w:val="auto"/>
          <w:sz w:val="21"/>
          <w:szCs w:val="21"/>
        </w:rPr>
        <w:t xml:space="preserve">          </w:t>
      </w:r>
    </w:p>
    <w:p w14:paraId="1926CEAC">
      <w:pPr>
        <w:pStyle w:val="6"/>
        <w:spacing w:line="360" w:lineRule="exact"/>
        <w:ind w:firstLine="480"/>
        <w:rPr>
          <w:color w:val="auto"/>
          <w:sz w:val="21"/>
          <w:szCs w:val="21"/>
        </w:rPr>
      </w:pPr>
      <w:r>
        <w:rPr>
          <w:color w:val="auto"/>
          <w:sz w:val="21"/>
          <w:szCs w:val="21"/>
        </w:rPr>
        <w:t>2</w:t>
      </w:r>
      <w:r>
        <w:rPr>
          <w:rFonts w:hint="eastAsia"/>
          <w:color w:val="auto"/>
          <w:sz w:val="21"/>
          <w:szCs w:val="21"/>
        </w:rPr>
        <w:t>.我单位直接控股的其他单位如下：</w:t>
      </w:r>
      <w:r>
        <w:rPr>
          <w:color w:val="auto"/>
          <w:sz w:val="21"/>
          <w:szCs w:val="21"/>
          <w:u w:val="single"/>
        </w:rPr>
        <w:t xml:space="preserve">                    </w:t>
      </w:r>
      <w:r>
        <w:rPr>
          <w:color w:val="auto"/>
          <w:sz w:val="21"/>
          <w:szCs w:val="21"/>
        </w:rPr>
        <w:t xml:space="preserve"> </w:t>
      </w:r>
    </w:p>
    <w:p w14:paraId="504F8C9B">
      <w:pPr>
        <w:pStyle w:val="6"/>
        <w:spacing w:line="360" w:lineRule="exact"/>
        <w:ind w:firstLine="480"/>
        <w:rPr>
          <w:color w:val="auto"/>
          <w:sz w:val="21"/>
          <w:szCs w:val="21"/>
        </w:rPr>
      </w:pPr>
      <w:r>
        <w:rPr>
          <w:color w:val="auto"/>
          <w:sz w:val="21"/>
          <w:szCs w:val="21"/>
        </w:rPr>
        <w:t>3</w:t>
      </w:r>
      <w:r>
        <w:rPr>
          <w:rFonts w:hint="eastAsia"/>
          <w:color w:val="auto"/>
          <w:sz w:val="21"/>
          <w:szCs w:val="21"/>
        </w:rPr>
        <w:t>.与我单位存在管理关系的其他单位如下：</w:t>
      </w:r>
      <w:r>
        <w:rPr>
          <w:color w:val="auto"/>
          <w:sz w:val="21"/>
          <w:szCs w:val="21"/>
          <w:u w:val="single"/>
        </w:rPr>
        <w:t xml:space="preserve">              </w:t>
      </w:r>
      <w:r>
        <w:rPr>
          <w:color w:val="auto"/>
          <w:sz w:val="21"/>
          <w:szCs w:val="21"/>
        </w:rPr>
        <w:t xml:space="preserve"> </w:t>
      </w:r>
    </w:p>
    <w:p w14:paraId="7DF6234A">
      <w:pPr>
        <w:pStyle w:val="6"/>
        <w:spacing w:line="360" w:lineRule="exact"/>
        <w:ind w:firstLine="480"/>
        <w:rPr>
          <w:color w:val="auto"/>
          <w:sz w:val="21"/>
          <w:szCs w:val="21"/>
        </w:rPr>
      </w:pPr>
      <w:r>
        <w:rPr>
          <w:rFonts w:hint="eastAsia"/>
          <w:color w:val="auto"/>
          <w:sz w:val="21"/>
          <w:szCs w:val="21"/>
        </w:rPr>
        <w:t>九、我单位不属于为本项目提供整体设计、规范编制或者项目管理、监理、检测等服务的供应商。</w:t>
      </w:r>
    </w:p>
    <w:p w14:paraId="5C118C80">
      <w:pPr>
        <w:pStyle w:val="6"/>
        <w:spacing w:line="360" w:lineRule="exact"/>
        <w:ind w:firstLine="480"/>
        <w:rPr>
          <w:color w:val="auto"/>
          <w:sz w:val="21"/>
          <w:szCs w:val="21"/>
        </w:rPr>
      </w:pPr>
      <w:r>
        <w:rPr>
          <w:rFonts w:hint="eastAsia"/>
          <w:color w:val="auto"/>
          <w:sz w:val="21"/>
          <w:szCs w:val="21"/>
        </w:rPr>
        <w:t>十、我单位无以下不良信用记录情形：</w:t>
      </w:r>
    </w:p>
    <w:p w14:paraId="7A66968E">
      <w:pPr>
        <w:pStyle w:val="6"/>
        <w:spacing w:line="360" w:lineRule="exact"/>
        <w:ind w:firstLine="480"/>
        <w:rPr>
          <w:color w:val="auto"/>
          <w:sz w:val="21"/>
          <w:szCs w:val="21"/>
        </w:rPr>
      </w:pPr>
      <w:r>
        <w:rPr>
          <w:color w:val="auto"/>
          <w:sz w:val="21"/>
          <w:szCs w:val="21"/>
        </w:rPr>
        <w:t>1</w:t>
      </w:r>
      <w:r>
        <w:rPr>
          <w:rFonts w:hint="eastAsia"/>
          <w:color w:val="auto"/>
          <w:sz w:val="21"/>
          <w:szCs w:val="21"/>
        </w:rPr>
        <w:t>.在“信用中国”网站被列入失信被执行人和重大税收违法案件当事人名单。</w:t>
      </w:r>
    </w:p>
    <w:p w14:paraId="33720ED6">
      <w:pPr>
        <w:pStyle w:val="6"/>
        <w:spacing w:line="360" w:lineRule="exact"/>
        <w:ind w:firstLine="480"/>
        <w:rPr>
          <w:color w:val="auto"/>
          <w:sz w:val="21"/>
          <w:szCs w:val="21"/>
        </w:rPr>
      </w:pPr>
      <w:r>
        <w:rPr>
          <w:rFonts w:hint="eastAsia"/>
          <w:color w:val="auto"/>
          <w:sz w:val="21"/>
          <w:szCs w:val="21"/>
        </w:rPr>
        <w:t>我单位保证上述声明的事项都是真实的，如有虚假，我单位愿意承担相应的法律责任，并承担因此所造成的一切损失。</w:t>
      </w:r>
    </w:p>
    <w:p w14:paraId="7CE396EF">
      <w:pPr>
        <w:pStyle w:val="55"/>
        <w:spacing w:line="360" w:lineRule="exact"/>
        <w:ind w:firstLine="420" w:firstLineChars="200"/>
        <w:rPr>
          <w:rFonts w:cs="宋体"/>
          <w:color w:val="auto"/>
          <w:sz w:val="21"/>
          <w:szCs w:val="21"/>
        </w:rPr>
      </w:pPr>
      <w:r>
        <w:rPr>
          <w:rFonts w:hint="eastAsia" w:cs="宋体"/>
          <w:color w:val="auto"/>
          <w:sz w:val="21"/>
          <w:szCs w:val="21"/>
        </w:rPr>
        <w:t xml:space="preserve">供应商名称（公章）：             </w:t>
      </w:r>
    </w:p>
    <w:p w14:paraId="6292E8A5">
      <w:pPr>
        <w:pStyle w:val="55"/>
        <w:spacing w:line="360" w:lineRule="exact"/>
        <w:ind w:firstLine="420" w:firstLineChars="200"/>
        <w:rPr>
          <w:rFonts w:cs="宋体"/>
          <w:color w:val="auto"/>
          <w:sz w:val="21"/>
          <w:szCs w:val="21"/>
        </w:rPr>
      </w:pPr>
      <w:r>
        <w:rPr>
          <w:rFonts w:hint="eastAsia" w:cs="宋体"/>
          <w:color w:val="auto"/>
          <w:sz w:val="21"/>
          <w:szCs w:val="21"/>
        </w:rPr>
        <w:t>日    期：     年    月    日</w:t>
      </w:r>
    </w:p>
    <w:p w14:paraId="0938C4ED">
      <w:pPr>
        <w:outlineLvl w:val="1"/>
        <w:rPr>
          <w:rFonts w:ascii="宋体" w:hAnsi="宋体" w:cs="宋体"/>
          <w:b/>
          <w:color w:val="auto"/>
          <w:kern w:val="0"/>
          <w:sz w:val="21"/>
          <w:szCs w:val="21"/>
        </w:rPr>
      </w:pPr>
      <w:r>
        <w:rPr>
          <w:rFonts w:ascii="宋体" w:hAnsi="宋体" w:cs="宋体"/>
          <w:b/>
          <w:color w:val="auto"/>
          <w:kern w:val="0"/>
          <w:sz w:val="21"/>
          <w:szCs w:val="21"/>
        </w:rPr>
        <w:br w:type="page"/>
      </w:r>
    </w:p>
    <w:p w14:paraId="5A8183E0">
      <w:pPr>
        <w:outlineLvl w:val="1"/>
        <w:rPr>
          <w:rFonts w:ascii="宋体" w:hAnsi="宋体" w:cs="宋体"/>
          <w:b/>
          <w:color w:val="auto"/>
          <w:kern w:val="0"/>
          <w:sz w:val="21"/>
          <w:szCs w:val="21"/>
        </w:rPr>
      </w:pPr>
      <w:r>
        <w:rPr>
          <w:rFonts w:hint="eastAsia" w:ascii="宋体" w:hAnsi="宋体" w:cs="宋体"/>
          <w:b/>
          <w:color w:val="auto"/>
          <w:kern w:val="0"/>
          <w:sz w:val="21"/>
          <w:szCs w:val="21"/>
        </w:rPr>
        <w:t>附件：2.响应函</w:t>
      </w:r>
    </w:p>
    <w:p w14:paraId="53158A04">
      <w:pPr>
        <w:pStyle w:val="11"/>
        <w:snapToGrid w:val="0"/>
        <w:spacing w:line="360" w:lineRule="auto"/>
        <w:jc w:val="center"/>
        <w:rPr>
          <w:rFonts w:asciiTheme="minorEastAsia" w:hAnsiTheme="minorEastAsia"/>
          <w:bCs/>
          <w:color w:val="auto"/>
          <w:sz w:val="21"/>
          <w:szCs w:val="21"/>
        </w:rPr>
      </w:pPr>
      <w:r>
        <w:rPr>
          <w:rFonts w:hint="eastAsia" w:asciiTheme="minorEastAsia" w:hAnsiTheme="minorEastAsia"/>
          <w:b/>
          <w:bCs/>
          <w:color w:val="auto"/>
          <w:sz w:val="21"/>
          <w:szCs w:val="21"/>
        </w:rPr>
        <w:t>响应函</w:t>
      </w:r>
    </w:p>
    <w:p w14:paraId="6B133187">
      <w:pPr>
        <w:spacing w:line="360" w:lineRule="exact"/>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（采购人）、常州市城投建设工程招标有限公司 ：</w:t>
      </w:r>
    </w:p>
    <w:p w14:paraId="5E328CC3">
      <w:pPr>
        <w:spacing w:line="360" w:lineRule="exact"/>
        <w:ind w:firstLine="420" w:firstLineChars="20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我单位收到贵单位“       号”询价</w:t>
      </w:r>
      <w:r>
        <w:rPr>
          <w:rFonts w:asciiTheme="minorEastAsia" w:hAnsiTheme="minorEastAsia" w:eastAsiaTheme="minorEastAsia"/>
          <w:color w:val="auto"/>
          <w:sz w:val="21"/>
          <w:szCs w:val="21"/>
        </w:rPr>
        <w:t>通知书</w:t>
      </w:r>
      <w:r>
        <w:rPr>
          <w:rFonts w:hint="eastAsia" w:asciiTheme="minorEastAsia" w:hAnsiTheme="minorEastAsia" w:eastAsiaTheme="minorEastAsia"/>
          <w:color w:val="auto"/>
          <w:sz w:val="21"/>
          <w:szCs w:val="21"/>
        </w:rPr>
        <w:t>后，经仔细阅读和研究，我单位决定参加本项目的询价活动。为此，我方郑重声明以下诸点，并负法律责任。</w:t>
      </w:r>
    </w:p>
    <w:p w14:paraId="6265EAD2">
      <w:pPr>
        <w:pStyle w:val="55"/>
        <w:spacing w:line="360" w:lineRule="exact"/>
        <w:ind w:firstLine="420"/>
        <w:jc w:val="lef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rPr>
        <w:t>1.我单位愿意</w:t>
      </w:r>
      <w:r>
        <w:rPr>
          <w:rFonts w:hint="eastAsia" w:asciiTheme="minorEastAsia" w:hAnsiTheme="minorEastAsia" w:eastAsiaTheme="minorEastAsia"/>
          <w:color w:val="auto"/>
          <w:sz w:val="21"/>
          <w:szCs w:val="21"/>
        </w:rPr>
        <w:t>遵守贵单位有关采购的各项规定，</w:t>
      </w:r>
      <w:r>
        <w:rPr>
          <w:rFonts w:hint="eastAsia" w:cs="宋体" w:asciiTheme="minorEastAsia" w:hAnsiTheme="minorEastAsia" w:eastAsiaTheme="minorEastAsia"/>
          <w:color w:val="auto"/>
          <w:sz w:val="21"/>
          <w:szCs w:val="21"/>
        </w:rPr>
        <w:t>提供询价通知书中要求的所有资料，并保证完全真实准确，若有虚假和违</w:t>
      </w:r>
      <w:r>
        <w:rPr>
          <w:rFonts w:hint="eastAsia" w:cs="宋体" w:asciiTheme="minorEastAsia" w:hAnsiTheme="minorEastAsia" w:eastAsiaTheme="minorEastAsia"/>
          <w:color w:val="auto"/>
          <w:sz w:val="21"/>
          <w:szCs w:val="21"/>
          <w:highlight w:val="none"/>
        </w:rPr>
        <w:t>背，我单位愿意承担由此而产生的一切后果。</w:t>
      </w:r>
    </w:p>
    <w:p w14:paraId="749BFBC2">
      <w:pPr>
        <w:pStyle w:val="55"/>
        <w:spacing w:line="360" w:lineRule="exact"/>
        <w:ind w:firstLine="420"/>
        <w:jc w:val="left"/>
        <w:rPr>
          <w:rFonts w:cs="宋体" w:asciiTheme="minorEastAsia" w:hAnsiTheme="minorEastAsia" w:eastAsiaTheme="minorEastAsia"/>
          <w:color w:val="auto"/>
          <w:sz w:val="21"/>
          <w:szCs w:val="21"/>
          <w:highlight w:val="none"/>
        </w:rPr>
      </w:pPr>
      <w:r>
        <w:rPr>
          <w:rFonts w:hint="eastAsia"/>
          <w:color w:val="auto"/>
          <w:sz w:val="21"/>
          <w:szCs w:val="21"/>
          <w:highlight w:val="none"/>
        </w:rPr>
        <w:t>2.</w:t>
      </w:r>
      <w:r>
        <w:rPr>
          <w:rFonts w:hint="eastAsia" w:cs="宋体" w:asciiTheme="minorEastAsia" w:hAnsiTheme="minorEastAsia" w:eastAsiaTheme="minorEastAsia"/>
          <w:color w:val="auto"/>
          <w:sz w:val="21"/>
          <w:szCs w:val="21"/>
          <w:highlight w:val="none"/>
        </w:rPr>
        <w:t>我单位</w:t>
      </w:r>
      <w:r>
        <w:rPr>
          <w:rFonts w:hint="eastAsia"/>
          <w:color w:val="auto"/>
          <w:sz w:val="21"/>
          <w:szCs w:val="21"/>
          <w:highlight w:val="none"/>
        </w:rPr>
        <w:t>承诺财务状况良好，依法缴纳税收和社会保障资金，具备履行合同所必需的设备和专业技术能力，参加采购活动前3年内在经营活动中没有重大违法记录。</w:t>
      </w:r>
    </w:p>
    <w:p w14:paraId="1E53D645">
      <w:pPr>
        <w:adjustRightInd w:val="0"/>
        <w:snapToGrid w:val="0"/>
        <w:spacing w:line="360" w:lineRule="exact"/>
        <w:ind w:firstLine="422" w:firstLineChars="201"/>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3.我单位承诺保证采购人在使用该货物或其任何一部分时不受第三方提出侵犯其专利权</w:t>
      </w:r>
      <w:r>
        <w:rPr>
          <w:rFonts w:hint="eastAsia"/>
          <w:color w:val="auto"/>
          <w:sz w:val="21"/>
          <w:szCs w:val="21"/>
          <w:highlight w:val="none"/>
          <w:shd w:val="clear" w:color="auto" w:fill="FFFFFF"/>
        </w:rPr>
        <w:t>、</w:t>
      </w:r>
      <w:r>
        <w:rPr>
          <w:color w:val="auto"/>
          <w:sz w:val="21"/>
          <w:szCs w:val="21"/>
          <w:highlight w:val="none"/>
          <w:shd w:val="clear" w:color="auto" w:fill="FFFFFF"/>
        </w:rPr>
        <w:t>著作</w:t>
      </w:r>
      <w:r>
        <w:rPr>
          <w:rFonts w:hint="eastAsia"/>
          <w:color w:val="auto"/>
          <w:sz w:val="21"/>
          <w:szCs w:val="21"/>
          <w:highlight w:val="none"/>
          <w:shd w:val="clear" w:color="auto" w:fill="FFFFFF"/>
        </w:rPr>
        <w:t>权、商标权等知识产权的起诉。</w:t>
      </w:r>
      <w:r>
        <w:rPr>
          <w:rFonts w:hint="eastAsia" w:asciiTheme="minorEastAsia" w:hAnsiTheme="minorEastAsia" w:eastAsiaTheme="minorEastAsia"/>
          <w:color w:val="auto"/>
          <w:sz w:val="21"/>
          <w:szCs w:val="21"/>
          <w:highlight w:val="none"/>
        </w:rPr>
        <w:t>一旦出现侵权、索赔或诉讼，我单位承担全部责任。</w:t>
      </w:r>
    </w:p>
    <w:p w14:paraId="4145764E">
      <w:pPr>
        <w:pStyle w:val="55"/>
        <w:spacing w:line="360" w:lineRule="exact"/>
        <w:ind w:firstLine="420"/>
        <w:jc w:val="left"/>
        <w:rPr>
          <w:rFonts w:cs="宋体"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4</w:t>
      </w:r>
      <w:r>
        <w:rPr>
          <w:rFonts w:asciiTheme="minorEastAsia" w:hAnsiTheme="minorEastAsia" w:eastAsiaTheme="minorEastAsia"/>
          <w:color w:val="auto"/>
          <w:sz w:val="21"/>
          <w:szCs w:val="21"/>
          <w:highlight w:val="none"/>
        </w:rPr>
        <w:t>.</w:t>
      </w:r>
      <w:r>
        <w:rPr>
          <w:rFonts w:hint="eastAsia" w:cs="宋体" w:asciiTheme="minorEastAsia" w:hAnsiTheme="minorEastAsia" w:eastAsiaTheme="minorEastAsia"/>
          <w:color w:val="auto"/>
          <w:sz w:val="21"/>
          <w:szCs w:val="21"/>
          <w:highlight w:val="none"/>
        </w:rPr>
        <w:t>我单位承诺该询价响应文件在询价开始后的全过程中保持有效，不作任何更改和变动。并同意按询价通知书中的规定，本询价响应文件的有效期限为投标开始后</w:t>
      </w:r>
      <w:r>
        <w:rPr>
          <w:rFonts w:cs="宋体" w:asciiTheme="minorEastAsia" w:hAnsiTheme="minorEastAsia" w:eastAsiaTheme="minorEastAsia"/>
          <w:color w:val="auto"/>
          <w:sz w:val="21"/>
          <w:szCs w:val="21"/>
          <w:highlight w:val="none"/>
          <w:u w:val="single"/>
        </w:rPr>
        <w:t>6</w:t>
      </w:r>
      <w:r>
        <w:rPr>
          <w:rFonts w:hint="eastAsia" w:cs="宋体" w:asciiTheme="minorEastAsia" w:hAnsiTheme="minorEastAsia" w:eastAsiaTheme="minorEastAsia"/>
          <w:color w:val="auto"/>
          <w:sz w:val="21"/>
          <w:szCs w:val="21"/>
          <w:highlight w:val="none"/>
          <w:u w:val="single"/>
        </w:rPr>
        <w:t>0</w:t>
      </w:r>
      <w:r>
        <w:rPr>
          <w:rFonts w:hint="eastAsia" w:cs="宋体" w:asciiTheme="minorEastAsia" w:hAnsiTheme="minorEastAsia" w:eastAsiaTheme="minorEastAsia"/>
          <w:color w:val="auto"/>
          <w:sz w:val="21"/>
          <w:szCs w:val="21"/>
          <w:highlight w:val="none"/>
        </w:rPr>
        <w:t>天。</w:t>
      </w:r>
    </w:p>
    <w:p w14:paraId="6B2319E2">
      <w:pPr>
        <w:pStyle w:val="55"/>
        <w:spacing w:line="360" w:lineRule="exact"/>
        <w:ind w:firstLine="420"/>
        <w:jc w:val="left"/>
        <w:rPr>
          <w:rFonts w:ascii="宋体" w:hAnsi="宋体" w:cs="宋体"/>
          <w:b/>
          <w:color w:val="auto"/>
          <w:sz w:val="21"/>
          <w:szCs w:val="21"/>
        </w:rPr>
      </w:pPr>
      <w:r>
        <w:rPr>
          <w:rFonts w:hint="eastAsia" w:asciiTheme="minorEastAsia" w:hAnsiTheme="minorEastAsia" w:eastAsiaTheme="minorEastAsia"/>
          <w:color w:val="auto"/>
          <w:sz w:val="21"/>
          <w:szCs w:val="21"/>
          <w:highlight w:val="none"/>
        </w:rPr>
        <w:t>5.</w:t>
      </w:r>
      <w:r>
        <w:rPr>
          <w:rFonts w:hint="eastAsia" w:cs="宋体" w:asciiTheme="minorEastAsia" w:hAnsiTheme="minorEastAsia" w:eastAsiaTheme="minorEastAsia"/>
          <w:color w:val="auto"/>
          <w:sz w:val="21"/>
          <w:szCs w:val="21"/>
          <w:highlight w:val="none"/>
        </w:rPr>
        <w:t>我单位愿意</w:t>
      </w:r>
      <w:r>
        <w:rPr>
          <w:rFonts w:hint="eastAsia" w:asciiTheme="minorEastAsia" w:hAnsiTheme="minorEastAsia" w:eastAsiaTheme="minorEastAsia"/>
          <w:color w:val="auto"/>
          <w:sz w:val="21"/>
          <w:szCs w:val="21"/>
          <w:highlight w:val="none"/>
        </w:rPr>
        <w:t>按询价通知书规定的各项要求，向采购人提供所需货物与服务。询价报价</w:t>
      </w:r>
      <w:r>
        <w:rPr>
          <w:rFonts w:hint="eastAsia" w:cs="Arial"/>
          <w:color w:val="auto"/>
          <w:sz w:val="21"/>
          <w:szCs w:val="21"/>
          <w:highlight w:val="none"/>
        </w:rPr>
        <w:t>包括</w:t>
      </w:r>
      <w:r>
        <w:rPr>
          <w:rFonts w:hint="eastAsia" w:asciiTheme="minorEastAsia" w:hAnsiTheme="minorEastAsia" w:eastAsiaTheme="minorEastAsia"/>
          <w:color w:val="auto"/>
          <w:sz w:val="21"/>
          <w:szCs w:val="21"/>
          <w:highlight w:val="none"/>
        </w:rPr>
        <w:t>但不限于</w:t>
      </w:r>
      <w:r>
        <w:rPr>
          <w:rFonts w:hint="eastAsia" w:cs="Arial"/>
          <w:color w:val="auto"/>
          <w:sz w:val="21"/>
          <w:szCs w:val="21"/>
          <w:highlight w:val="none"/>
        </w:rPr>
        <w:t>询价通知书所确定的采购范围相应</w:t>
      </w:r>
      <w:r>
        <w:rPr>
          <w:rFonts w:hint="eastAsia" w:cs="宋体"/>
          <w:bCs/>
          <w:color w:val="auto"/>
          <w:sz w:val="21"/>
          <w:szCs w:val="21"/>
          <w:highlight w:val="none"/>
        </w:rPr>
        <w:t>基本技术要求范围内</w:t>
      </w:r>
      <w:r>
        <w:rPr>
          <w:rFonts w:hint="eastAsia" w:cs="宋体"/>
          <w:color w:val="auto"/>
          <w:sz w:val="21"/>
          <w:szCs w:val="21"/>
          <w:highlight w:val="none"/>
        </w:rPr>
        <w:t>设备货、包装、运输、保险、辅助设备、安装调试、管理、维护（包括质保期内的一切维修、保养、更换零部件、人工等）、劳务、培训、验收、办公设备、设备、工具、耗材、运送工具及耗材、利润、风险、税金及政策性文件规定等各项应有费用，以及为完成该项设备或者服务项目所涉及到的一切相关费用，采购人不再支付其他任何费用。安装、调试、验收过程中，如发现有漏项、缺件，成交供应商应无条件、无偿补齐，所发生的一切费用，视为已包含在供应商的报价之中，且并不因此而影响交付实际使用人的时间。</w:t>
      </w:r>
    </w:p>
    <w:p w14:paraId="48239061">
      <w:pPr>
        <w:pStyle w:val="55"/>
        <w:spacing w:line="360" w:lineRule="exact"/>
        <w:ind w:firstLine="420"/>
        <w:jc w:val="left"/>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6.我单位认为贵单位有权决定成交供应商，还认为贵单位有权接受或拒绝所有的供应商。</w:t>
      </w:r>
    </w:p>
    <w:p w14:paraId="080224E0">
      <w:pPr>
        <w:pStyle w:val="55"/>
        <w:spacing w:line="360" w:lineRule="exact"/>
        <w:ind w:firstLine="420"/>
        <w:jc w:val="left"/>
        <w:rPr>
          <w:rFonts w:cs="宋体"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7</w:t>
      </w:r>
      <w:r>
        <w:rPr>
          <w:rFonts w:asciiTheme="minorEastAsia" w:hAnsiTheme="minorEastAsia" w:eastAsiaTheme="minorEastAsia"/>
          <w:color w:val="auto"/>
          <w:sz w:val="21"/>
          <w:szCs w:val="21"/>
        </w:rPr>
        <w:t>.</w:t>
      </w:r>
      <w:r>
        <w:rPr>
          <w:rFonts w:hint="eastAsia" w:cs="宋体" w:asciiTheme="minorEastAsia" w:hAnsiTheme="minorEastAsia" w:eastAsiaTheme="minorEastAsia"/>
          <w:color w:val="auto"/>
          <w:sz w:val="21"/>
          <w:szCs w:val="21"/>
        </w:rPr>
        <w:t>我单位愿意遵守询价通知书中所列的收费标准，若我单位成交，我单位愿意按询价通知书的规定支付成交服务费。</w:t>
      </w:r>
    </w:p>
    <w:p w14:paraId="07BA7E5D">
      <w:pPr>
        <w:pStyle w:val="55"/>
        <w:spacing w:line="360" w:lineRule="exact"/>
        <w:ind w:firstLine="420"/>
        <w:jc w:val="left"/>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8.如果我单位的询价响应文件被接受，</w:t>
      </w:r>
      <w:r>
        <w:rPr>
          <w:rFonts w:hint="eastAsia" w:asciiTheme="minorEastAsia" w:hAnsiTheme="minorEastAsia" w:eastAsiaTheme="minorEastAsia"/>
          <w:color w:val="auto"/>
          <w:sz w:val="21"/>
          <w:szCs w:val="21"/>
        </w:rPr>
        <w:t>愿按《中华人民共和国民法典》履行自己的全部责任，</w:t>
      </w:r>
      <w:r>
        <w:rPr>
          <w:rFonts w:asciiTheme="minorEastAsia" w:hAnsiTheme="minorEastAsia" w:eastAsiaTheme="minorEastAsia"/>
          <w:color w:val="auto"/>
          <w:sz w:val="21"/>
          <w:szCs w:val="21"/>
        </w:rPr>
        <w:t>同时</w:t>
      </w:r>
      <w:r>
        <w:rPr>
          <w:rFonts w:hint="eastAsia" w:cs="宋体" w:asciiTheme="minorEastAsia" w:hAnsiTheme="minorEastAsia" w:eastAsiaTheme="minorEastAsia"/>
          <w:color w:val="auto"/>
          <w:sz w:val="21"/>
          <w:szCs w:val="21"/>
        </w:rPr>
        <w:t>严格履行询价通知书中规定的每一项要求，按期、按质、按量履行合同的义务。</w:t>
      </w:r>
    </w:p>
    <w:p w14:paraId="3B22383A">
      <w:pPr>
        <w:pStyle w:val="55"/>
        <w:spacing w:line="360" w:lineRule="exact"/>
        <w:ind w:firstLine="420"/>
        <w:rPr>
          <w:rFonts w:cs="宋体"/>
          <w:color w:val="auto"/>
          <w:sz w:val="21"/>
          <w:szCs w:val="21"/>
        </w:rPr>
      </w:pPr>
      <w:r>
        <w:rPr>
          <w:rFonts w:hint="eastAsia" w:cs="宋体"/>
          <w:color w:val="auto"/>
          <w:sz w:val="21"/>
          <w:szCs w:val="21"/>
        </w:rPr>
        <w:t>9.与本次询价有关的正式通讯地址为：</w:t>
      </w:r>
    </w:p>
    <w:p w14:paraId="64F75D33">
      <w:pPr>
        <w:spacing w:line="360" w:lineRule="exact"/>
        <w:ind w:firstLine="420" w:firstLineChars="200"/>
        <w:rPr>
          <w:rFonts w:asciiTheme="minorEastAsia" w:hAnsiTheme="minorEastAsia" w:eastAsiaTheme="minorEastAsia"/>
          <w:color w:val="auto"/>
          <w:sz w:val="21"/>
          <w:szCs w:val="21"/>
        </w:rPr>
      </w:pPr>
    </w:p>
    <w:p w14:paraId="5EAB814C">
      <w:pPr>
        <w:pStyle w:val="11"/>
        <w:snapToGrid w:val="0"/>
        <w:spacing w:line="360" w:lineRule="auto"/>
        <w:ind w:firstLine="420"/>
        <w:rPr>
          <w:rFonts w:asciiTheme="minorEastAsia" w:hAnsiTheme="minorEastAsia"/>
          <w:color w:val="auto"/>
          <w:sz w:val="21"/>
          <w:szCs w:val="21"/>
          <w:u w:val="single"/>
        </w:rPr>
      </w:pPr>
      <w:r>
        <w:rPr>
          <w:rFonts w:hint="eastAsia" w:asciiTheme="minorEastAsia" w:hAnsiTheme="minorEastAsia"/>
          <w:color w:val="auto"/>
          <w:sz w:val="21"/>
          <w:szCs w:val="21"/>
        </w:rPr>
        <w:t>供应商（公章）：</w:t>
      </w:r>
    </w:p>
    <w:p w14:paraId="7D304DCC">
      <w:pPr>
        <w:pStyle w:val="11"/>
        <w:snapToGrid w:val="0"/>
        <w:spacing w:line="360" w:lineRule="auto"/>
        <w:ind w:firstLine="420"/>
        <w:rPr>
          <w:rFonts w:asciiTheme="minorEastAsia" w:hAnsiTheme="minorEastAsia"/>
          <w:color w:val="auto"/>
          <w:sz w:val="21"/>
          <w:szCs w:val="21"/>
        </w:rPr>
      </w:pPr>
      <w:r>
        <w:rPr>
          <w:rFonts w:hint="eastAsia" w:asciiTheme="minorEastAsia" w:hAnsiTheme="minorEastAsia"/>
          <w:color w:val="auto"/>
          <w:sz w:val="21"/>
          <w:szCs w:val="21"/>
        </w:rPr>
        <w:t>地址：</w:t>
      </w:r>
    </w:p>
    <w:p w14:paraId="4770CA99">
      <w:pPr>
        <w:pStyle w:val="11"/>
        <w:snapToGrid w:val="0"/>
        <w:spacing w:line="360" w:lineRule="auto"/>
        <w:ind w:firstLine="420"/>
        <w:rPr>
          <w:rFonts w:asciiTheme="minorEastAsia" w:hAnsiTheme="minorEastAsia"/>
          <w:color w:val="auto"/>
          <w:sz w:val="21"/>
          <w:szCs w:val="21"/>
          <w:u w:val="single"/>
        </w:rPr>
      </w:pPr>
      <w:r>
        <w:rPr>
          <w:rFonts w:hint="eastAsia" w:asciiTheme="minorEastAsia" w:hAnsiTheme="minorEastAsia"/>
          <w:color w:val="auto"/>
          <w:sz w:val="21"/>
          <w:szCs w:val="21"/>
        </w:rPr>
        <w:t>邮政编码：</w:t>
      </w:r>
    </w:p>
    <w:p w14:paraId="17015DB3">
      <w:pPr>
        <w:pStyle w:val="11"/>
        <w:snapToGrid w:val="0"/>
        <w:spacing w:line="360" w:lineRule="auto"/>
        <w:ind w:firstLine="420"/>
        <w:rPr>
          <w:rFonts w:asciiTheme="minorEastAsia" w:hAnsiTheme="minorEastAsia"/>
          <w:color w:val="auto"/>
          <w:sz w:val="21"/>
          <w:szCs w:val="21"/>
        </w:rPr>
      </w:pPr>
      <w:r>
        <w:rPr>
          <w:rFonts w:hint="eastAsia" w:asciiTheme="minorEastAsia" w:hAnsiTheme="minorEastAsia"/>
          <w:color w:val="auto"/>
          <w:sz w:val="21"/>
          <w:szCs w:val="21"/>
        </w:rPr>
        <w:t>联系人：</w:t>
      </w:r>
    </w:p>
    <w:p w14:paraId="19538CA0">
      <w:pPr>
        <w:pStyle w:val="11"/>
        <w:snapToGrid w:val="0"/>
        <w:spacing w:line="360" w:lineRule="auto"/>
        <w:ind w:firstLine="420"/>
        <w:rPr>
          <w:rFonts w:asciiTheme="minorEastAsia" w:hAnsiTheme="minorEastAsia"/>
          <w:color w:val="auto"/>
          <w:sz w:val="21"/>
          <w:szCs w:val="21"/>
        </w:rPr>
      </w:pPr>
      <w:r>
        <w:rPr>
          <w:rFonts w:hint="eastAsia" w:asciiTheme="minorEastAsia" w:hAnsiTheme="minorEastAsia"/>
          <w:color w:val="auto"/>
          <w:sz w:val="21"/>
          <w:szCs w:val="21"/>
        </w:rPr>
        <w:t xml:space="preserve">联系电话：    </w:t>
      </w:r>
    </w:p>
    <w:p w14:paraId="36D62993">
      <w:pPr>
        <w:pStyle w:val="11"/>
        <w:snapToGrid w:val="0"/>
        <w:spacing w:line="360" w:lineRule="auto"/>
        <w:ind w:firstLine="420"/>
        <w:rPr>
          <w:rFonts w:hint="eastAsia" w:cs="宋体"/>
          <w:color w:val="auto"/>
          <w:sz w:val="21"/>
          <w:szCs w:val="21"/>
        </w:rPr>
      </w:pPr>
      <w:r>
        <w:rPr>
          <w:rFonts w:hint="eastAsia" w:cs="宋体"/>
          <w:color w:val="auto"/>
          <w:sz w:val="21"/>
          <w:szCs w:val="21"/>
          <w:lang w:val="en-US" w:eastAsia="zh-CN"/>
        </w:rPr>
        <w:t>电子函件：</w:t>
      </w:r>
      <w:r>
        <w:rPr>
          <w:rFonts w:hint="eastAsia" w:cs="宋体"/>
          <w:color w:val="auto"/>
          <w:sz w:val="21"/>
          <w:szCs w:val="21"/>
        </w:rPr>
        <w:t xml:space="preserve"> </w:t>
      </w:r>
    </w:p>
    <w:p w14:paraId="4FA0338C">
      <w:pPr>
        <w:pStyle w:val="11"/>
        <w:snapToGrid w:val="0"/>
        <w:spacing w:line="360" w:lineRule="auto"/>
        <w:ind w:firstLine="420"/>
        <w:rPr>
          <w:rFonts w:asciiTheme="minorEastAsia" w:hAnsiTheme="minorEastAsia"/>
          <w:color w:val="auto"/>
          <w:sz w:val="21"/>
          <w:szCs w:val="21"/>
          <w:u w:val="single"/>
        </w:rPr>
      </w:pPr>
      <w:r>
        <w:rPr>
          <w:rFonts w:hint="eastAsia" w:asciiTheme="minorEastAsia" w:hAnsiTheme="minorEastAsia"/>
          <w:color w:val="auto"/>
          <w:sz w:val="21"/>
          <w:szCs w:val="21"/>
        </w:rPr>
        <w:t>开户名称：</w:t>
      </w:r>
    </w:p>
    <w:p w14:paraId="4EE01089">
      <w:pPr>
        <w:pStyle w:val="11"/>
        <w:snapToGrid w:val="0"/>
        <w:spacing w:line="360" w:lineRule="auto"/>
        <w:ind w:firstLine="420"/>
        <w:rPr>
          <w:rFonts w:asciiTheme="minorEastAsia" w:hAnsiTheme="minorEastAsia"/>
          <w:color w:val="auto"/>
          <w:sz w:val="21"/>
          <w:szCs w:val="21"/>
          <w:u w:val="single"/>
        </w:rPr>
      </w:pPr>
      <w:r>
        <w:rPr>
          <w:rFonts w:hint="eastAsia" w:asciiTheme="minorEastAsia" w:hAnsiTheme="minorEastAsia"/>
          <w:color w:val="auto"/>
          <w:sz w:val="21"/>
          <w:szCs w:val="21"/>
        </w:rPr>
        <w:t>开户银行：</w:t>
      </w:r>
    </w:p>
    <w:p w14:paraId="6C2C5EAC">
      <w:pPr>
        <w:pStyle w:val="11"/>
        <w:snapToGrid w:val="0"/>
        <w:spacing w:line="360" w:lineRule="auto"/>
        <w:ind w:firstLine="420"/>
        <w:rPr>
          <w:rFonts w:asciiTheme="minorEastAsia" w:hAnsiTheme="minorEastAsia"/>
          <w:color w:val="auto"/>
          <w:sz w:val="21"/>
          <w:szCs w:val="21"/>
          <w:u w:val="single"/>
        </w:rPr>
      </w:pPr>
      <w:r>
        <w:rPr>
          <w:rFonts w:hint="eastAsia" w:asciiTheme="minorEastAsia" w:hAnsiTheme="minorEastAsia"/>
          <w:color w:val="auto"/>
          <w:sz w:val="21"/>
          <w:szCs w:val="21"/>
        </w:rPr>
        <w:t>银行账号：</w:t>
      </w:r>
    </w:p>
    <w:p w14:paraId="4584A57B">
      <w:pPr>
        <w:pStyle w:val="11"/>
        <w:snapToGrid w:val="0"/>
        <w:spacing w:line="360" w:lineRule="auto"/>
        <w:ind w:firstLine="420"/>
        <w:rPr>
          <w:rFonts w:asciiTheme="minorEastAsia" w:hAnsiTheme="minorEastAsia"/>
          <w:color w:val="auto"/>
          <w:sz w:val="21"/>
          <w:szCs w:val="21"/>
        </w:rPr>
      </w:pPr>
      <w:r>
        <w:rPr>
          <w:rFonts w:hint="eastAsia" w:asciiTheme="minorEastAsia" w:hAnsiTheme="minorEastAsia"/>
          <w:color w:val="auto"/>
          <w:sz w:val="21"/>
          <w:szCs w:val="21"/>
        </w:rPr>
        <w:t>日期</w:t>
      </w:r>
      <w:r>
        <w:rPr>
          <w:rFonts w:asciiTheme="minorEastAsia" w:hAnsiTheme="minorEastAsia"/>
          <w:color w:val="auto"/>
          <w:sz w:val="21"/>
          <w:szCs w:val="21"/>
        </w:rPr>
        <w:t>：</w:t>
      </w:r>
      <w:r>
        <w:rPr>
          <w:rFonts w:hint="eastAsia" w:asciiTheme="minorEastAsia" w:hAnsiTheme="minorEastAsia"/>
          <w:color w:val="auto"/>
          <w:sz w:val="21"/>
          <w:szCs w:val="21"/>
        </w:rPr>
        <w:t xml:space="preserve">     </w:t>
      </w:r>
      <w:r>
        <w:rPr>
          <w:rFonts w:hint="eastAsia" w:asciiTheme="minorEastAsia" w:hAnsiTheme="minorEastAsia"/>
          <w:bCs/>
          <w:color w:val="auto"/>
          <w:sz w:val="21"/>
          <w:szCs w:val="21"/>
        </w:rPr>
        <w:t>年   月   日</w:t>
      </w:r>
    </w:p>
    <w:p w14:paraId="1F79347B">
      <w:pPr>
        <w:widowControl/>
        <w:snapToGrid w:val="0"/>
        <w:spacing w:line="360" w:lineRule="auto"/>
        <w:ind w:right="-308"/>
        <w:jc w:val="left"/>
        <w:rPr>
          <w:rFonts w:ascii="宋体" w:cs="宋体"/>
          <w:color w:val="auto"/>
          <w:kern w:val="0"/>
          <w:sz w:val="21"/>
          <w:szCs w:val="21"/>
        </w:rPr>
      </w:pPr>
    </w:p>
    <w:p w14:paraId="37191EA5">
      <w:pPr>
        <w:outlineLvl w:val="1"/>
        <w:rPr>
          <w:rFonts w:cs="宋体"/>
          <w:b/>
          <w:color w:val="auto"/>
          <w:sz w:val="21"/>
          <w:szCs w:val="21"/>
        </w:rPr>
      </w:pPr>
      <w:r>
        <w:rPr>
          <w:rFonts w:hint="eastAsia" w:cs="Arial"/>
          <w:color w:val="auto"/>
          <w:kern w:val="0"/>
          <w:sz w:val="21"/>
          <w:szCs w:val="21"/>
        </w:rPr>
        <w:br w:type="page"/>
      </w:r>
      <w:r>
        <w:rPr>
          <w:rFonts w:hint="eastAsia" w:ascii="宋体" w:hAnsi="宋体" w:cs="宋体"/>
          <w:b/>
          <w:color w:val="auto"/>
          <w:kern w:val="0"/>
          <w:sz w:val="21"/>
          <w:szCs w:val="21"/>
        </w:rPr>
        <w:t>附件：3.法定代表人资格证明书</w:t>
      </w:r>
    </w:p>
    <w:p w14:paraId="5A43D2E2">
      <w:pPr>
        <w:rPr>
          <w:color w:val="auto"/>
          <w:sz w:val="21"/>
          <w:szCs w:val="21"/>
        </w:rPr>
      </w:pPr>
    </w:p>
    <w:p w14:paraId="3E934579">
      <w:pPr>
        <w:spacing w:line="360" w:lineRule="auto"/>
        <w:jc w:val="center"/>
        <w:rPr>
          <w:rFonts w:ascii="宋体" w:hAnsi="宋体"/>
          <w:b/>
          <w:color w:val="auto"/>
          <w:sz w:val="21"/>
          <w:szCs w:val="21"/>
        </w:rPr>
      </w:pPr>
      <w:r>
        <w:rPr>
          <w:rFonts w:hint="eastAsia" w:ascii="宋体" w:hAnsi="宋体"/>
          <w:b/>
          <w:color w:val="auto"/>
          <w:sz w:val="21"/>
          <w:szCs w:val="21"/>
        </w:rPr>
        <w:t>法定代表人资格证明书</w:t>
      </w:r>
    </w:p>
    <w:p w14:paraId="3DF069AD">
      <w:pPr>
        <w:spacing w:line="360" w:lineRule="auto"/>
        <w:rPr>
          <w:rFonts w:ascii="宋体" w:hAnsi="宋体"/>
          <w:color w:val="auto"/>
          <w:sz w:val="21"/>
          <w:szCs w:val="21"/>
        </w:rPr>
      </w:pPr>
      <w:r>
        <w:rPr>
          <w:rFonts w:hint="eastAsia" w:ascii="宋体" w:hAnsi="宋体"/>
          <w:color w:val="auto"/>
          <w:sz w:val="21"/>
          <w:szCs w:val="21"/>
        </w:rPr>
        <w:t>供应商名称</w:t>
      </w:r>
      <w:r>
        <w:rPr>
          <w:rFonts w:ascii="宋体" w:hAnsi="宋体"/>
          <w:color w:val="auto"/>
          <w:sz w:val="21"/>
          <w:szCs w:val="21"/>
        </w:rPr>
        <w:t>:</w:t>
      </w:r>
    </w:p>
    <w:p w14:paraId="3F001E9C">
      <w:pPr>
        <w:spacing w:line="360" w:lineRule="auto"/>
        <w:rPr>
          <w:rFonts w:ascii="宋体" w:hAnsi="宋体"/>
          <w:color w:val="auto"/>
          <w:sz w:val="21"/>
          <w:szCs w:val="21"/>
        </w:rPr>
      </w:pPr>
      <w:r>
        <w:rPr>
          <w:rFonts w:hint="eastAsia" w:ascii="宋体" w:hAnsi="宋体"/>
          <w:color w:val="auto"/>
          <w:sz w:val="21"/>
          <w:szCs w:val="21"/>
        </w:rPr>
        <w:t>地址</w:t>
      </w:r>
      <w:r>
        <w:rPr>
          <w:rFonts w:ascii="宋体" w:hAnsi="宋体"/>
          <w:color w:val="auto"/>
          <w:sz w:val="21"/>
          <w:szCs w:val="21"/>
        </w:rPr>
        <w:t>:</w:t>
      </w:r>
    </w:p>
    <w:p w14:paraId="0FE2C2CC">
      <w:pPr>
        <w:spacing w:line="360" w:lineRule="auto"/>
        <w:rPr>
          <w:rFonts w:ascii="宋体" w:hAnsi="宋体"/>
          <w:color w:val="auto"/>
          <w:sz w:val="21"/>
          <w:szCs w:val="21"/>
        </w:rPr>
      </w:pPr>
      <w:r>
        <w:rPr>
          <w:rFonts w:hint="eastAsia" w:ascii="宋体" w:hAnsi="宋体"/>
          <w:color w:val="auto"/>
          <w:sz w:val="21"/>
          <w:szCs w:val="21"/>
        </w:rPr>
        <w:t>姓名</w:t>
      </w:r>
      <w:r>
        <w:rPr>
          <w:rFonts w:ascii="宋体" w:hAnsi="宋体"/>
          <w:color w:val="auto"/>
          <w:sz w:val="21"/>
          <w:szCs w:val="21"/>
        </w:rPr>
        <w:t>:            </w:t>
      </w:r>
      <w:r>
        <w:rPr>
          <w:rFonts w:hint="eastAsia" w:ascii="宋体" w:hAnsi="宋体"/>
          <w:color w:val="auto"/>
          <w:sz w:val="21"/>
          <w:szCs w:val="21"/>
        </w:rPr>
        <w:t>性别</w:t>
      </w:r>
      <w:r>
        <w:rPr>
          <w:rFonts w:ascii="宋体" w:hAnsi="宋体"/>
          <w:color w:val="auto"/>
          <w:sz w:val="21"/>
          <w:szCs w:val="21"/>
        </w:rPr>
        <w:t>:        </w:t>
      </w:r>
      <w:r>
        <w:rPr>
          <w:rFonts w:hint="eastAsia" w:ascii="宋体" w:hAnsi="宋体"/>
          <w:color w:val="auto"/>
          <w:sz w:val="21"/>
          <w:szCs w:val="21"/>
        </w:rPr>
        <w:t>年龄</w:t>
      </w:r>
      <w:r>
        <w:rPr>
          <w:rFonts w:ascii="宋体" w:hAnsi="宋体"/>
          <w:color w:val="auto"/>
          <w:sz w:val="21"/>
          <w:szCs w:val="21"/>
        </w:rPr>
        <w:t>:        </w:t>
      </w:r>
      <w:r>
        <w:rPr>
          <w:rFonts w:hint="eastAsia" w:ascii="宋体" w:hAnsi="宋体"/>
          <w:color w:val="auto"/>
          <w:sz w:val="21"/>
          <w:szCs w:val="21"/>
        </w:rPr>
        <w:t>职务</w:t>
      </w:r>
      <w:r>
        <w:rPr>
          <w:rFonts w:ascii="宋体" w:hAnsi="宋体"/>
          <w:color w:val="auto"/>
          <w:sz w:val="21"/>
          <w:szCs w:val="21"/>
        </w:rPr>
        <w:t>:</w:t>
      </w:r>
    </w:p>
    <w:p w14:paraId="7E3ACB2D">
      <w:pPr>
        <w:spacing w:line="360" w:lineRule="auto"/>
        <w:rPr>
          <w:rFonts w:ascii="宋体" w:hAnsi="宋体"/>
          <w:color w:val="auto"/>
          <w:sz w:val="21"/>
          <w:szCs w:val="21"/>
        </w:rPr>
      </w:pPr>
      <w:r>
        <w:rPr>
          <w:rFonts w:hint="eastAsia" w:ascii="宋体" w:hAnsi="宋体"/>
          <w:color w:val="auto"/>
          <w:sz w:val="21"/>
          <w:szCs w:val="21"/>
        </w:rPr>
        <w:t>系</w:t>
      </w:r>
      <w:r>
        <w:rPr>
          <w:rFonts w:ascii="宋体" w:hAnsi="宋体"/>
          <w:color w:val="auto"/>
          <w:sz w:val="21"/>
          <w:szCs w:val="21"/>
          <w:u w:val="single"/>
        </w:rPr>
        <w:t xml:space="preserve">               </w:t>
      </w:r>
      <w:r>
        <w:rPr>
          <w:rFonts w:hint="eastAsia" w:ascii="宋体" w:hAnsi="宋体"/>
          <w:color w:val="auto"/>
          <w:sz w:val="21"/>
          <w:szCs w:val="21"/>
        </w:rPr>
        <w:t>的法定代表人。为实施</w:t>
      </w:r>
      <w:r>
        <w:rPr>
          <w:rFonts w:ascii="宋体" w:hAnsi="宋体"/>
          <w:color w:val="auto"/>
          <w:sz w:val="21"/>
          <w:szCs w:val="21"/>
        </w:rPr>
        <w:t xml:space="preserve"> </w:t>
      </w:r>
      <w:r>
        <w:rPr>
          <w:rFonts w:hint="eastAsia" w:ascii="宋体" w:hAnsi="宋体"/>
          <w:color w:val="auto"/>
          <w:sz w:val="21"/>
          <w:szCs w:val="21"/>
          <w:u w:val="single"/>
        </w:rPr>
        <w:t xml:space="preserve">           （  </w:t>
      </w:r>
      <w:r>
        <w:rPr>
          <w:rFonts w:ascii="宋体" w:hAnsi="宋体"/>
          <w:color w:val="auto"/>
          <w:sz w:val="21"/>
          <w:szCs w:val="21"/>
          <w:u w:val="single"/>
        </w:rPr>
        <w:t xml:space="preserve">    </w:t>
      </w:r>
      <w:r>
        <w:rPr>
          <w:rFonts w:hint="eastAsia" w:ascii="宋体" w:hAnsi="宋体"/>
          <w:color w:val="auto"/>
          <w:sz w:val="21"/>
          <w:szCs w:val="21"/>
          <w:u w:val="single"/>
        </w:rPr>
        <w:t>号）</w:t>
      </w:r>
      <w:r>
        <w:rPr>
          <w:rFonts w:ascii="宋体" w:hAnsi="宋体"/>
          <w:color w:val="auto"/>
          <w:sz w:val="21"/>
          <w:szCs w:val="21"/>
          <w:u w:val="single"/>
        </w:rPr>
        <w:t> </w:t>
      </w:r>
      <w:r>
        <w:rPr>
          <w:rFonts w:hint="eastAsia" w:ascii="宋体" w:hAnsi="宋体"/>
          <w:color w:val="auto"/>
          <w:sz w:val="21"/>
          <w:szCs w:val="21"/>
        </w:rPr>
        <w:t>的工作，签署上述项目的响应文件、进行合同谈判、签署合同和处理与之有关的一切事务。</w:t>
      </w:r>
    </w:p>
    <w:p w14:paraId="361A7936">
      <w:pPr>
        <w:spacing w:line="360" w:lineRule="auto"/>
        <w:rPr>
          <w:rFonts w:ascii="宋体" w:hAnsi="宋体"/>
          <w:color w:val="auto"/>
          <w:sz w:val="21"/>
          <w:szCs w:val="21"/>
        </w:rPr>
      </w:pPr>
      <w:r>
        <w:rPr>
          <w:rFonts w:hint="eastAsia" w:ascii="宋体" w:hAnsi="宋体"/>
          <w:color w:val="auto"/>
          <w:sz w:val="21"/>
          <w:szCs w:val="21"/>
        </w:rPr>
        <w:t>特此证明。</w:t>
      </w:r>
    </w:p>
    <w:p w14:paraId="75BF8479">
      <w:pPr>
        <w:spacing w:line="360" w:lineRule="auto"/>
        <w:rPr>
          <w:rFonts w:ascii="宋体" w:hAnsi="宋体"/>
          <w:color w:val="auto"/>
          <w:sz w:val="21"/>
          <w:szCs w:val="21"/>
        </w:rPr>
      </w:pPr>
    </w:p>
    <w:p w14:paraId="702756BD">
      <w:pPr>
        <w:spacing w:line="360" w:lineRule="auto"/>
        <w:rPr>
          <w:rFonts w:ascii="宋体" w:hAnsi="宋体"/>
          <w:color w:val="auto"/>
          <w:sz w:val="21"/>
          <w:szCs w:val="21"/>
        </w:rPr>
      </w:pPr>
    </w:p>
    <w:p w14:paraId="1123C9BA">
      <w:pPr>
        <w:spacing w:line="360" w:lineRule="auto"/>
        <w:rPr>
          <w:rFonts w:ascii="宋体" w:hAnsi="宋体"/>
          <w:color w:val="auto"/>
          <w:sz w:val="21"/>
          <w:szCs w:val="21"/>
        </w:rPr>
      </w:pPr>
      <w:r>
        <w:rPr>
          <w:rFonts w:ascii="宋体" w:hAnsi="宋体"/>
          <w:color w:val="auto"/>
          <w:sz w:val="21"/>
          <w:szCs w:val="21"/>
        </w:rPr>
        <w:t>                 </w:t>
      </w:r>
      <w:r>
        <w:rPr>
          <w:rFonts w:hint="eastAsia" w:ascii="宋体" w:hAnsi="宋体"/>
          <w:color w:val="auto"/>
          <w:sz w:val="21"/>
          <w:szCs w:val="21"/>
        </w:rPr>
        <w:t>供应商：（公章）</w:t>
      </w:r>
    </w:p>
    <w:p w14:paraId="13BB92AB">
      <w:pPr>
        <w:spacing w:line="360" w:lineRule="auto"/>
        <w:rPr>
          <w:rFonts w:ascii="宋体" w:hAnsi="宋体"/>
          <w:color w:val="auto"/>
          <w:sz w:val="21"/>
          <w:szCs w:val="21"/>
        </w:rPr>
      </w:pPr>
      <w:r>
        <w:rPr>
          <w:rFonts w:ascii="宋体" w:hAnsi="宋体"/>
          <w:color w:val="auto"/>
          <w:sz w:val="21"/>
          <w:szCs w:val="21"/>
        </w:rPr>
        <w:t xml:space="preserve">                     </w:t>
      </w:r>
      <w:r>
        <w:rPr>
          <w:rFonts w:hint="eastAsia" w:ascii="宋体" w:hAnsi="宋体"/>
          <w:color w:val="auto"/>
          <w:sz w:val="21"/>
          <w:szCs w:val="21"/>
        </w:rPr>
        <w:t>法定代表人签字或盖章：</w:t>
      </w:r>
    </w:p>
    <w:p w14:paraId="0399EE9D">
      <w:pPr>
        <w:spacing w:line="360" w:lineRule="auto"/>
        <w:ind w:firstLine="3570" w:firstLineChars="1700"/>
        <w:rPr>
          <w:rFonts w:ascii="宋体" w:hAnsi="宋体"/>
          <w:color w:val="auto"/>
          <w:sz w:val="21"/>
          <w:szCs w:val="21"/>
        </w:rPr>
      </w:pPr>
      <w:r>
        <w:rPr>
          <w:rFonts w:hint="eastAsia" w:ascii="宋体" w:hAnsi="宋体"/>
          <w:color w:val="auto"/>
          <w:sz w:val="21"/>
          <w:szCs w:val="21"/>
        </w:rPr>
        <w:t>日期：</w:t>
      </w:r>
      <w:r>
        <w:rPr>
          <w:rFonts w:ascii="宋体" w:hAnsi="宋体"/>
          <w:color w:val="auto"/>
          <w:sz w:val="21"/>
          <w:szCs w:val="21"/>
        </w:rPr>
        <w:t xml:space="preserve">    </w:t>
      </w:r>
      <w:r>
        <w:rPr>
          <w:rFonts w:hint="eastAsia" w:ascii="宋体" w:hAnsi="宋体"/>
          <w:color w:val="auto"/>
          <w:sz w:val="21"/>
          <w:szCs w:val="21"/>
        </w:rPr>
        <w:t>年</w:t>
      </w:r>
      <w:r>
        <w:rPr>
          <w:rFonts w:ascii="宋体" w:hAnsi="宋体"/>
          <w:color w:val="auto"/>
          <w:sz w:val="21"/>
          <w:szCs w:val="21"/>
        </w:rPr>
        <w:t xml:space="preserve">    </w:t>
      </w:r>
      <w:r>
        <w:rPr>
          <w:rFonts w:hint="eastAsia" w:ascii="宋体" w:hAnsi="宋体"/>
          <w:color w:val="auto"/>
          <w:sz w:val="21"/>
          <w:szCs w:val="21"/>
        </w:rPr>
        <w:t>月</w:t>
      </w:r>
      <w:r>
        <w:rPr>
          <w:rFonts w:ascii="宋体" w:hAnsi="宋体"/>
          <w:color w:val="auto"/>
          <w:sz w:val="21"/>
          <w:szCs w:val="21"/>
        </w:rPr>
        <w:t xml:space="preserve">    </w:t>
      </w:r>
      <w:r>
        <w:rPr>
          <w:rFonts w:hint="eastAsia" w:ascii="宋体" w:hAnsi="宋体"/>
          <w:color w:val="auto"/>
          <w:sz w:val="21"/>
          <w:szCs w:val="21"/>
        </w:rPr>
        <w:t>日</w:t>
      </w:r>
    </w:p>
    <w:p w14:paraId="73849D2E">
      <w:pPr>
        <w:tabs>
          <w:tab w:val="left" w:pos="6045"/>
        </w:tabs>
        <w:snapToGrid w:val="0"/>
        <w:spacing w:line="360" w:lineRule="auto"/>
        <w:ind w:left="210" w:hanging="210" w:hangingChars="100"/>
        <w:rPr>
          <w:rFonts w:ascii="宋体" w:hAnsi="宋体"/>
          <w:color w:val="auto"/>
          <w:sz w:val="21"/>
          <w:szCs w:val="21"/>
        </w:rPr>
      </w:pPr>
    </w:p>
    <w:p w14:paraId="12530277">
      <w:pPr>
        <w:snapToGrid w:val="0"/>
        <w:spacing w:line="360" w:lineRule="auto"/>
        <w:rPr>
          <w:rFonts w:ascii="宋体" w:hAnsi="宋体"/>
          <w:color w:val="auto"/>
          <w:sz w:val="21"/>
          <w:szCs w:val="21"/>
        </w:rPr>
      </w:pPr>
      <w:r>
        <w:rPr>
          <w:rFonts w:hint="eastAsia" w:ascii="宋体" w:hAnsi="宋体" w:cs="宋体"/>
          <w:color w:val="auto"/>
          <w:sz w:val="21"/>
          <w:szCs w:val="21"/>
        </w:rPr>
        <w:t> </w:t>
      </w:r>
    </w:p>
    <w:p w14:paraId="5DB84A8C">
      <w:pPr>
        <w:snapToGrid w:val="0"/>
        <w:spacing w:line="360" w:lineRule="auto"/>
        <w:rPr>
          <w:rFonts w:ascii="宋体" w:hAnsi="宋体"/>
          <w:color w:val="auto"/>
          <w:sz w:val="21"/>
          <w:szCs w:val="21"/>
        </w:rPr>
      </w:pPr>
    </w:p>
    <w:p w14:paraId="3A95330D">
      <w:pPr>
        <w:snapToGrid w:val="0"/>
        <w:spacing w:line="360" w:lineRule="auto"/>
        <w:rPr>
          <w:rFonts w:ascii="宋体" w:hAnsi="宋体"/>
          <w:b/>
          <w:color w:val="auto"/>
          <w:sz w:val="21"/>
          <w:szCs w:val="21"/>
        </w:rPr>
      </w:pPr>
    </w:p>
    <w:p w14:paraId="09B9E5B5">
      <w:pPr>
        <w:spacing w:line="360" w:lineRule="auto"/>
        <w:rPr>
          <w:rFonts w:ascii="宋体" w:hAnsi="宋体"/>
          <w:color w:val="auto"/>
          <w:sz w:val="21"/>
          <w:szCs w:val="21"/>
        </w:rPr>
      </w:pPr>
      <w:r>
        <w:rPr>
          <w:rFonts w:hint="eastAsia" w:ascii="宋体" w:hAnsi="宋体"/>
          <w:color w:val="auto"/>
          <w:sz w:val="21"/>
          <w:szCs w:val="21"/>
        </w:rPr>
        <w:t>法定代表人身份证</w:t>
      </w:r>
    </w:p>
    <w:p w14:paraId="515B6A78">
      <w:pPr>
        <w:spacing w:line="360" w:lineRule="auto"/>
        <w:rPr>
          <w:rFonts w:ascii="宋体" w:hAnsi="宋体"/>
          <w:color w:val="auto"/>
          <w:sz w:val="21"/>
          <w:szCs w:val="21"/>
        </w:rPr>
      </w:pPr>
      <w:r>
        <w:rPr>
          <w:rFonts w:hint="eastAsia" w:ascii="宋体" w:hAnsi="宋体"/>
          <w:color w:val="auto"/>
          <w:sz w:val="21"/>
          <w:szCs w:val="21"/>
        </w:rPr>
        <w:t>（双面复印件）粘贴处</w:t>
      </w:r>
    </w:p>
    <w:p w14:paraId="5556E544">
      <w:pPr>
        <w:snapToGrid w:val="0"/>
        <w:spacing w:line="360" w:lineRule="auto"/>
        <w:rPr>
          <w:rFonts w:ascii="宋体" w:hAnsi="宋体"/>
          <w:b/>
          <w:color w:val="auto"/>
          <w:sz w:val="21"/>
          <w:szCs w:val="21"/>
        </w:rPr>
      </w:pPr>
    </w:p>
    <w:p w14:paraId="47A7BBE0">
      <w:pPr>
        <w:snapToGrid w:val="0"/>
        <w:spacing w:line="360" w:lineRule="auto"/>
        <w:rPr>
          <w:rFonts w:ascii="宋体" w:hAnsi="宋体"/>
          <w:b/>
          <w:color w:val="auto"/>
          <w:sz w:val="21"/>
          <w:szCs w:val="21"/>
        </w:rPr>
      </w:pPr>
    </w:p>
    <w:p w14:paraId="0A5E4E73">
      <w:pPr>
        <w:rPr>
          <w:color w:val="auto"/>
          <w:sz w:val="21"/>
          <w:szCs w:val="21"/>
        </w:rPr>
      </w:pPr>
    </w:p>
    <w:p w14:paraId="4FE5EB64">
      <w:pPr>
        <w:rPr>
          <w:color w:val="auto"/>
          <w:sz w:val="21"/>
          <w:szCs w:val="21"/>
        </w:rPr>
      </w:pPr>
    </w:p>
    <w:p w14:paraId="165DD731">
      <w:pPr>
        <w:rPr>
          <w:color w:val="auto"/>
          <w:sz w:val="21"/>
          <w:szCs w:val="21"/>
        </w:rPr>
      </w:pPr>
    </w:p>
    <w:p w14:paraId="1624E52E">
      <w:pPr>
        <w:rPr>
          <w:color w:val="auto"/>
          <w:sz w:val="21"/>
          <w:szCs w:val="21"/>
        </w:rPr>
      </w:pPr>
    </w:p>
    <w:p w14:paraId="3BC85823">
      <w:pPr>
        <w:rPr>
          <w:color w:val="auto"/>
          <w:sz w:val="21"/>
          <w:szCs w:val="21"/>
        </w:rPr>
      </w:pPr>
    </w:p>
    <w:p w14:paraId="0C34AF1C">
      <w:pPr>
        <w:rPr>
          <w:color w:val="auto"/>
          <w:sz w:val="21"/>
          <w:szCs w:val="21"/>
        </w:rPr>
      </w:pPr>
    </w:p>
    <w:p w14:paraId="6F328EAE">
      <w:pPr>
        <w:rPr>
          <w:color w:val="auto"/>
          <w:sz w:val="21"/>
          <w:szCs w:val="21"/>
        </w:rPr>
      </w:pPr>
    </w:p>
    <w:p w14:paraId="226609F4">
      <w:pPr>
        <w:rPr>
          <w:color w:val="auto"/>
          <w:sz w:val="21"/>
          <w:szCs w:val="21"/>
        </w:rPr>
      </w:pPr>
    </w:p>
    <w:p w14:paraId="244353DE">
      <w:pPr>
        <w:rPr>
          <w:color w:val="auto"/>
          <w:sz w:val="21"/>
          <w:szCs w:val="21"/>
        </w:rPr>
      </w:pPr>
    </w:p>
    <w:p w14:paraId="2F50DD90">
      <w:pPr>
        <w:outlineLvl w:val="1"/>
        <w:rPr>
          <w:rFonts w:ascii="宋体" w:hAnsi="宋体" w:cs="宋体"/>
          <w:b/>
          <w:color w:val="auto"/>
          <w:kern w:val="0"/>
          <w:sz w:val="21"/>
          <w:szCs w:val="21"/>
        </w:rPr>
      </w:pPr>
      <w:r>
        <w:rPr>
          <w:rFonts w:ascii="宋体" w:hAnsi="宋体" w:cs="宋体"/>
          <w:b/>
          <w:color w:val="auto"/>
          <w:kern w:val="0"/>
          <w:sz w:val="21"/>
          <w:szCs w:val="21"/>
        </w:rPr>
        <w:br w:type="page"/>
      </w:r>
    </w:p>
    <w:p w14:paraId="78E2780F">
      <w:pPr>
        <w:outlineLvl w:val="1"/>
        <w:rPr>
          <w:rFonts w:hint="eastAsia" w:ascii="宋体" w:hAnsi="宋体" w:eastAsia="宋体" w:cs="宋体"/>
          <w:b/>
          <w:color w:val="auto"/>
          <w:kern w:val="0"/>
          <w:sz w:val="21"/>
          <w:szCs w:val="21"/>
          <w:lang w:val="en-US" w:eastAsia="zh-CN"/>
        </w:rPr>
      </w:pPr>
      <w:r>
        <w:rPr>
          <w:rFonts w:hint="eastAsia" w:ascii="宋体" w:hAnsi="宋体" w:eastAsia="宋体" w:cs="宋体"/>
          <w:b/>
          <w:color w:val="auto"/>
          <w:kern w:val="0"/>
          <w:sz w:val="21"/>
          <w:szCs w:val="21"/>
          <w:lang w:val="en-US" w:eastAsia="zh-CN"/>
        </w:rPr>
        <w:t>附件4：授权委托书</w:t>
      </w:r>
    </w:p>
    <w:p w14:paraId="6A2551E1">
      <w:pPr>
        <w:pStyle w:val="55"/>
        <w:snapToGrid w:val="0"/>
        <w:spacing w:line="360" w:lineRule="auto"/>
        <w:ind w:firstLine="562"/>
        <w:jc w:val="center"/>
        <w:rPr>
          <w:rFonts w:cs="宋体"/>
          <w:b/>
          <w:color w:val="auto"/>
          <w:sz w:val="28"/>
          <w:szCs w:val="28"/>
        </w:rPr>
      </w:pPr>
      <w:r>
        <w:rPr>
          <w:rFonts w:hint="eastAsia" w:cs="宋体"/>
          <w:b/>
          <w:color w:val="auto"/>
          <w:sz w:val="28"/>
          <w:szCs w:val="28"/>
        </w:rPr>
        <w:t>授权委托书</w:t>
      </w:r>
    </w:p>
    <w:p w14:paraId="4861B443">
      <w:pPr>
        <w:adjustRightInd w:val="0"/>
        <w:snapToGrid w:val="0"/>
        <w:spacing w:line="360" w:lineRule="auto"/>
        <w:ind w:firstLine="516" w:firstLineChars="215"/>
        <w:rPr>
          <w:rFonts w:ascii="宋体" w:hAnsi="宋体" w:cs="宋体"/>
          <w:color w:val="auto"/>
          <w:sz w:val="24"/>
          <w:szCs w:val="24"/>
        </w:rPr>
      </w:pPr>
    </w:p>
    <w:p w14:paraId="715833AD">
      <w:pPr>
        <w:adjustRightInd w:val="0"/>
        <w:snapToGrid w:val="0"/>
        <w:spacing w:line="360" w:lineRule="auto"/>
        <w:ind w:firstLine="451" w:firstLineChars="215"/>
        <w:rPr>
          <w:rFonts w:ascii="宋体" w:hAnsi="宋体" w:cs="宋体"/>
          <w:color w:val="auto"/>
          <w:szCs w:val="21"/>
        </w:rPr>
      </w:pPr>
      <w:r>
        <w:rPr>
          <w:rFonts w:hint="eastAsia" w:ascii="宋体" w:hAnsi="宋体" w:cs="宋体"/>
          <w:color w:val="auto"/>
          <w:szCs w:val="21"/>
        </w:rPr>
        <w:t>本授权委托书声明：我 ___________(姓名)系_________________（供应商名称）的法定代表人，现授权委托__________________（被授权人的姓名、职务）为本次询价中我单位的合法代理人，全权负责参加本次项目的询价、签订合约以及与之相关的各项工作。本供应商对被授权人的签名负全部责任。</w:t>
      </w:r>
    </w:p>
    <w:p w14:paraId="7B09DC60">
      <w:pPr>
        <w:adjustRightInd w:val="0"/>
        <w:snapToGrid w:val="0"/>
        <w:spacing w:line="360" w:lineRule="auto"/>
        <w:ind w:firstLine="397"/>
        <w:rPr>
          <w:rFonts w:ascii="宋体" w:hAnsi="宋体" w:cs="宋体"/>
          <w:color w:val="auto"/>
          <w:szCs w:val="21"/>
        </w:rPr>
      </w:pPr>
      <w:r>
        <w:rPr>
          <w:rFonts w:hint="eastAsia" w:ascii="宋体" w:hAnsi="宋体" w:cs="宋体"/>
          <w:color w:val="auto"/>
          <w:szCs w:val="21"/>
        </w:rPr>
        <w:t>本授权书于__________年_______月________日签字生效，特此声明。</w:t>
      </w:r>
    </w:p>
    <w:p w14:paraId="410E59B5">
      <w:pPr>
        <w:adjustRightInd w:val="0"/>
        <w:snapToGrid w:val="0"/>
        <w:spacing w:line="360" w:lineRule="auto"/>
        <w:rPr>
          <w:rFonts w:ascii="宋体" w:hAnsi="宋体" w:cs="宋体"/>
          <w:color w:val="auto"/>
          <w:sz w:val="24"/>
          <w:szCs w:val="24"/>
        </w:rPr>
      </w:pPr>
    </w:p>
    <w:p w14:paraId="5C587B53">
      <w:pPr>
        <w:adjustRightInd w:val="0"/>
        <w:snapToGrid w:val="0"/>
        <w:spacing w:line="400" w:lineRule="exact"/>
        <w:rPr>
          <w:rFonts w:ascii="宋体" w:hAnsi="宋体" w:cs="宋体"/>
          <w:color w:val="auto"/>
          <w:szCs w:val="21"/>
        </w:rPr>
      </w:pPr>
      <w:r>
        <w:rPr>
          <w:rFonts w:hint="eastAsia" w:ascii="宋体" w:hAnsi="宋体" w:cs="宋体"/>
          <w:color w:val="auto"/>
          <w:szCs w:val="21"/>
        </w:rPr>
        <w:t>法定代表人签字或盖章：                       日期：</w:t>
      </w:r>
    </w:p>
    <w:p w14:paraId="5677EA52">
      <w:pPr>
        <w:spacing w:line="400" w:lineRule="exact"/>
        <w:rPr>
          <w:rFonts w:ascii="宋体" w:hAnsi="宋体" w:cs="宋体"/>
          <w:color w:val="auto"/>
          <w:szCs w:val="21"/>
        </w:rPr>
      </w:pPr>
      <w:r>
        <w:rPr>
          <w:rFonts w:hint="eastAsia" w:ascii="宋体" w:hAnsi="宋体" w:cs="宋体"/>
          <w:color w:val="auto"/>
          <w:szCs w:val="21"/>
        </w:rPr>
        <w:t>职务：                                       联系电话：</w:t>
      </w:r>
    </w:p>
    <w:p w14:paraId="66FDD192">
      <w:pPr>
        <w:spacing w:line="400" w:lineRule="exact"/>
        <w:rPr>
          <w:rFonts w:ascii="宋体" w:hAnsi="宋体" w:cs="宋体"/>
          <w:color w:val="auto"/>
          <w:szCs w:val="21"/>
        </w:rPr>
      </w:pPr>
      <w:r>
        <w:rPr>
          <w:rFonts w:hint="eastAsia" w:ascii="宋体" w:hAnsi="宋体" w:cs="宋体"/>
          <w:color w:val="auto"/>
          <w:szCs w:val="21"/>
        </w:rPr>
        <w:t>单位名称：                                   地址：</w:t>
      </w:r>
    </w:p>
    <w:p w14:paraId="10099C2E">
      <w:pPr>
        <w:spacing w:line="400" w:lineRule="exact"/>
        <w:rPr>
          <w:rFonts w:ascii="宋体" w:hAnsi="宋体" w:cs="宋体"/>
          <w:color w:val="auto"/>
          <w:szCs w:val="21"/>
        </w:rPr>
      </w:pPr>
      <w:r>
        <w:rPr>
          <w:rFonts w:hint="eastAsia" w:ascii="宋体" w:hAnsi="宋体" w:cs="宋体"/>
          <w:color w:val="auto"/>
          <w:szCs w:val="21"/>
        </w:rPr>
        <w:t>身份证号码：</w:t>
      </w:r>
    </w:p>
    <w:p w14:paraId="53DBD31B">
      <w:pPr>
        <w:spacing w:line="400" w:lineRule="exact"/>
        <w:rPr>
          <w:rFonts w:ascii="宋体" w:hAnsi="宋体" w:cs="宋体"/>
          <w:color w:val="auto"/>
          <w:szCs w:val="21"/>
        </w:rPr>
      </w:pPr>
    </w:p>
    <w:p w14:paraId="4DEDD63C">
      <w:pPr>
        <w:spacing w:line="400" w:lineRule="exact"/>
        <w:rPr>
          <w:rFonts w:ascii="宋体" w:hAnsi="宋体" w:cs="宋体"/>
          <w:color w:val="auto"/>
          <w:szCs w:val="21"/>
        </w:rPr>
      </w:pPr>
      <w:r>
        <w:rPr>
          <w:rFonts w:hint="eastAsia" w:ascii="宋体" w:hAnsi="宋体" w:cs="宋体"/>
          <w:color w:val="auto"/>
          <w:szCs w:val="21"/>
        </w:rPr>
        <w:t>委托代理人（被授权人）签字或盖章：           日期：</w:t>
      </w:r>
    </w:p>
    <w:p w14:paraId="7C8EF680">
      <w:pPr>
        <w:spacing w:line="400" w:lineRule="exact"/>
        <w:rPr>
          <w:rFonts w:ascii="宋体" w:hAnsi="宋体" w:cs="宋体"/>
          <w:color w:val="auto"/>
          <w:szCs w:val="21"/>
        </w:rPr>
      </w:pPr>
      <w:r>
        <w:rPr>
          <w:rFonts w:hint="eastAsia" w:ascii="宋体" w:hAnsi="宋体" w:cs="宋体"/>
          <w:color w:val="auto"/>
          <w:szCs w:val="21"/>
        </w:rPr>
        <w:t>职务：                                       联系电话：</w:t>
      </w:r>
    </w:p>
    <w:p w14:paraId="57359695">
      <w:pPr>
        <w:spacing w:line="400" w:lineRule="exact"/>
        <w:rPr>
          <w:rFonts w:ascii="宋体" w:hAnsi="宋体" w:cs="宋体"/>
          <w:color w:val="auto"/>
          <w:szCs w:val="21"/>
        </w:rPr>
      </w:pPr>
      <w:r>
        <w:rPr>
          <w:rFonts w:hint="eastAsia" w:ascii="宋体" w:hAnsi="宋体" w:cs="宋体"/>
          <w:color w:val="auto"/>
          <w:szCs w:val="21"/>
        </w:rPr>
        <w:t>单位名称：                                   地址：</w:t>
      </w:r>
    </w:p>
    <w:p w14:paraId="4A97F30B">
      <w:pPr>
        <w:spacing w:line="400" w:lineRule="exact"/>
        <w:rPr>
          <w:rFonts w:ascii="宋体" w:hAnsi="宋体" w:cs="宋体"/>
          <w:color w:val="auto"/>
          <w:szCs w:val="21"/>
        </w:rPr>
      </w:pPr>
      <w:r>
        <w:rPr>
          <w:rFonts w:hint="eastAsia" w:ascii="宋体" w:hAnsi="宋体" w:cs="宋体"/>
          <w:color w:val="auto"/>
          <w:szCs w:val="21"/>
        </w:rPr>
        <w:t>身份证号码：</w:t>
      </w:r>
    </w:p>
    <w:p w14:paraId="5A402FBF">
      <w:pPr>
        <w:spacing w:line="400" w:lineRule="exact"/>
        <w:rPr>
          <w:rFonts w:ascii="宋体" w:hAnsi="宋体" w:cs="宋体"/>
          <w:color w:val="auto"/>
          <w:szCs w:val="21"/>
        </w:rPr>
      </w:pPr>
    </w:p>
    <w:p w14:paraId="25B94648">
      <w:pPr>
        <w:spacing w:line="400" w:lineRule="exact"/>
        <w:rPr>
          <w:rFonts w:ascii="宋体" w:hAnsi="宋体" w:cs="宋体"/>
          <w:color w:val="auto"/>
          <w:szCs w:val="21"/>
        </w:rPr>
      </w:pPr>
      <w:r>
        <w:rPr>
          <w:rFonts w:hint="eastAsia" w:ascii="宋体" w:hAnsi="宋体" w:cs="宋体"/>
          <w:color w:val="auto"/>
          <w:szCs w:val="21"/>
        </w:rPr>
        <w:t xml:space="preserve">供应商公章： </w:t>
      </w:r>
    </w:p>
    <w:p w14:paraId="5E86C136">
      <w:pPr>
        <w:spacing w:line="400" w:lineRule="exact"/>
        <w:rPr>
          <w:rFonts w:ascii="宋体" w:hAnsi="宋体" w:cs="宋体"/>
          <w:color w:val="auto"/>
          <w:szCs w:val="21"/>
        </w:rPr>
      </w:pPr>
      <w:r>
        <w:rPr>
          <w:rFonts w:hint="eastAsia" w:ascii="宋体" w:hAnsi="宋体" w:cs="宋体"/>
          <w:color w:val="auto"/>
          <w:szCs w:val="21"/>
        </w:rPr>
        <w:t>地址：                                       电话：</w:t>
      </w:r>
    </w:p>
    <w:p w14:paraId="7B0631EF">
      <w:pPr>
        <w:spacing w:line="400" w:lineRule="exact"/>
        <w:rPr>
          <w:rFonts w:ascii="宋体" w:hAnsi="宋体" w:cs="宋体"/>
          <w:color w:val="auto"/>
          <w:szCs w:val="21"/>
        </w:rPr>
      </w:pPr>
      <w:r>
        <w:rPr>
          <w:rFonts w:hint="eastAsia" w:ascii="宋体" w:hAnsi="宋体" w:cs="宋体"/>
          <w:color w:val="auto"/>
          <w:szCs w:val="21"/>
        </w:rPr>
        <w:t>传真：                                       邮编：</w:t>
      </w:r>
    </w:p>
    <w:p w14:paraId="28536C4C">
      <w:pPr>
        <w:spacing w:line="400" w:lineRule="exact"/>
        <w:rPr>
          <w:rFonts w:ascii="宋体" w:hAnsi="宋体" w:cs="宋体"/>
          <w:color w:val="auto"/>
          <w:szCs w:val="21"/>
        </w:rPr>
      </w:pPr>
      <w:r>
        <w:rPr>
          <w:rFonts w:hint="eastAsia" w:ascii="宋体" w:hAnsi="宋体" w:cs="宋体"/>
          <w:color w:val="auto"/>
          <w:szCs w:val="21"/>
        </w:rPr>
        <w:t>开户行：</w:t>
      </w:r>
    </w:p>
    <w:p w14:paraId="18C759D2">
      <w:pPr>
        <w:spacing w:line="400" w:lineRule="exact"/>
        <w:rPr>
          <w:rFonts w:ascii="宋体" w:hAnsi="宋体" w:cs="宋体"/>
          <w:color w:val="auto"/>
          <w:szCs w:val="21"/>
        </w:rPr>
      </w:pPr>
      <w:r>
        <w:rPr>
          <w:rFonts w:hint="eastAsia" w:ascii="宋体" w:hAnsi="宋体" w:cs="宋体"/>
          <w:color w:val="auto"/>
          <w:szCs w:val="21"/>
        </w:rPr>
        <w:t>帐号：</w:t>
      </w:r>
    </w:p>
    <w:p w14:paraId="73A21D62">
      <w:pPr>
        <w:spacing w:line="400" w:lineRule="exact"/>
        <w:rPr>
          <w:rFonts w:ascii="宋体" w:hAnsi="宋体" w:cs="宋体"/>
          <w:color w:val="auto"/>
          <w:szCs w:val="21"/>
        </w:rPr>
      </w:pPr>
    </w:p>
    <w:p w14:paraId="4F027C9B">
      <w:pPr>
        <w:spacing w:line="400" w:lineRule="exact"/>
        <w:rPr>
          <w:rFonts w:ascii="宋体" w:hAnsi="宋体" w:cs="宋体"/>
          <w:color w:val="auto"/>
          <w:szCs w:val="21"/>
        </w:rPr>
      </w:pPr>
      <w:r>
        <w:rPr>
          <w:rFonts w:hint="eastAsia" w:ascii="宋体" w:hAnsi="宋体" w:cs="宋体"/>
          <w:color w:val="auto"/>
          <w:szCs w:val="21"/>
        </w:rPr>
        <w:t>代理人身份证</w:t>
      </w:r>
    </w:p>
    <w:p w14:paraId="54D01A65">
      <w:pPr>
        <w:spacing w:line="360" w:lineRule="auto"/>
        <w:rPr>
          <w:rFonts w:ascii="宋体" w:hAnsi="宋体" w:cs="宋体"/>
          <w:color w:val="auto"/>
          <w:sz w:val="24"/>
          <w:szCs w:val="24"/>
        </w:rPr>
      </w:pPr>
      <w:r>
        <w:rPr>
          <w:rFonts w:hint="eastAsia" w:ascii="宋体" w:hAnsi="宋体" w:cs="宋体"/>
          <w:color w:val="auto"/>
          <w:szCs w:val="21"/>
        </w:rPr>
        <w:t>（双面复印件）粘贴处</w:t>
      </w:r>
    </w:p>
    <w:p w14:paraId="5A666D79">
      <w:pPr>
        <w:spacing w:line="360" w:lineRule="auto"/>
        <w:rPr>
          <w:rFonts w:ascii="宋体" w:hAnsi="宋体" w:cs="宋体"/>
          <w:color w:val="auto"/>
          <w:sz w:val="24"/>
          <w:szCs w:val="24"/>
        </w:rPr>
      </w:pPr>
    </w:p>
    <w:p w14:paraId="0A9B4327">
      <w:pPr>
        <w:spacing w:line="360" w:lineRule="auto"/>
        <w:rPr>
          <w:rFonts w:ascii="宋体" w:hAnsi="宋体" w:cs="宋体"/>
          <w:color w:val="auto"/>
          <w:szCs w:val="21"/>
        </w:rPr>
      </w:pPr>
    </w:p>
    <w:p w14:paraId="5C3DD5B9">
      <w:pPr>
        <w:widowControl/>
        <w:snapToGrid w:val="0"/>
        <w:spacing w:line="360" w:lineRule="auto"/>
        <w:ind w:right="-308"/>
        <w:jc w:val="left"/>
        <w:rPr>
          <w:rFonts w:ascii="宋体" w:hAnsi="宋体" w:cs="宋体"/>
          <w:b/>
          <w:color w:val="auto"/>
          <w:kern w:val="0"/>
          <w:szCs w:val="21"/>
        </w:rPr>
      </w:pPr>
      <w:r>
        <w:rPr>
          <w:rFonts w:hint="eastAsia" w:ascii="宋体" w:hAnsi="宋体" w:cs="宋体"/>
          <w:b/>
          <w:color w:val="auto"/>
          <w:kern w:val="0"/>
          <w:szCs w:val="21"/>
        </w:rPr>
        <w:br w:type="page"/>
      </w:r>
    </w:p>
    <w:p w14:paraId="6ECEEE31">
      <w:pPr>
        <w:outlineLvl w:val="1"/>
        <w:rPr>
          <w:rFonts w:hint="eastAsia" w:ascii="宋体" w:hAnsi="宋体" w:cs="宋体"/>
          <w:b/>
          <w:color w:val="auto"/>
          <w:kern w:val="0"/>
          <w:sz w:val="21"/>
          <w:szCs w:val="21"/>
        </w:rPr>
      </w:pPr>
    </w:p>
    <w:p w14:paraId="096A56F0">
      <w:pPr>
        <w:outlineLvl w:val="1"/>
        <w:rPr>
          <w:rFonts w:hint="eastAsia" w:ascii="宋体" w:hAnsi="宋体" w:cs="宋体"/>
          <w:b/>
          <w:color w:val="auto"/>
          <w:kern w:val="0"/>
          <w:sz w:val="21"/>
          <w:szCs w:val="21"/>
        </w:rPr>
      </w:pPr>
    </w:p>
    <w:p w14:paraId="12B327B4">
      <w:pPr>
        <w:outlineLvl w:val="1"/>
        <w:rPr>
          <w:rFonts w:hint="eastAsia" w:ascii="宋体" w:hAnsi="宋体" w:cs="宋体"/>
          <w:b/>
          <w:color w:val="auto"/>
          <w:kern w:val="0"/>
          <w:sz w:val="21"/>
          <w:szCs w:val="21"/>
        </w:rPr>
      </w:pPr>
    </w:p>
    <w:p w14:paraId="5B33D0B9">
      <w:pPr>
        <w:outlineLvl w:val="1"/>
        <w:rPr>
          <w:rFonts w:ascii="宋体" w:hAnsi="宋体" w:cs="宋体"/>
          <w:b/>
          <w:color w:val="auto"/>
          <w:kern w:val="0"/>
          <w:sz w:val="21"/>
          <w:szCs w:val="21"/>
        </w:rPr>
      </w:pPr>
      <w:r>
        <w:rPr>
          <w:rFonts w:hint="eastAsia" w:ascii="宋体" w:hAnsi="宋体" w:cs="宋体"/>
          <w:b/>
          <w:color w:val="auto"/>
          <w:kern w:val="0"/>
          <w:sz w:val="21"/>
          <w:szCs w:val="21"/>
        </w:rPr>
        <w:t>附件：5.报价一览表</w:t>
      </w:r>
    </w:p>
    <w:p w14:paraId="3EB8777F">
      <w:pPr>
        <w:ind w:firstLine="309"/>
        <w:jc w:val="center"/>
        <w:rPr>
          <w:rFonts w:ascii="宋体" w:hAnsi="宋体"/>
          <w:color w:val="auto"/>
          <w:sz w:val="21"/>
          <w:szCs w:val="21"/>
        </w:rPr>
      </w:pPr>
      <w:r>
        <w:rPr>
          <w:rFonts w:hint="eastAsia" w:ascii="宋体" w:hAnsi="宋体"/>
          <w:b/>
          <w:color w:val="auto"/>
          <w:sz w:val="21"/>
          <w:szCs w:val="21"/>
        </w:rPr>
        <w:t>报价一览表</w:t>
      </w:r>
    </w:p>
    <w:p w14:paraId="33ADA87C">
      <w:pPr>
        <w:pStyle w:val="11"/>
        <w:snapToGrid w:val="0"/>
        <w:spacing w:line="360" w:lineRule="auto"/>
        <w:ind w:firstLine="420"/>
        <w:rPr>
          <w:rFonts w:asciiTheme="minorEastAsia" w:hAnsiTheme="minorEastAsia"/>
          <w:color w:val="auto"/>
          <w:sz w:val="21"/>
          <w:szCs w:val="21"/>
          <w:u w:val="single"/>
        </w:rPr>
      </w:pPr>
      <w:r>
        <w:rPr>
          <w:rFonts w:hint="eastAsia" w:asciiTheme="minorEastAsia" w:hAnsiTheme="minorEastAsia"/>
          <w:color w:val="auto"/>
          <w:sz w:val="21"/>
          <w:szCs w:val="21"/>
        </w:rPr>
        <w:t>供应商（公章）：</w:t>
      </w:r>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7"/>
        <w:gridCol w:w="6484"/>
      </w:tblGrid>
      <w:tr w14:paraId="5D575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9" w:hRule="atLeast"/>
        </w:trPr>
        <w:tc>
          <w:tcPr>
            <w:tcW w:w="1195" w:type="pct"/>
            <w:vAlign w:val="center"/>
          </w:tcPr>
          <w:p w14:paraId="27A93AF1">
            <w:pPr>
              <w:jc w:val="center"/>
              <w:rPr>
                <w:rFonts w:ascii="宋体" w:hAnsi="宋体" w:cs="宋体"/>
                <w:color w:val="auto"/>
                <w:szCs w:val="21"/>
              </w:rPr>
            </w:pPr>
            <w:r>
              <w:rPr>
                <w:rFonts w:hint="eastAsia" w:ascii="宋体" w:hAnsi="宋体" w:cs="宋体"/>
                <w:color w:val="auto"/>
                <w:szCs w:val="21"/>
              </w:rPr>
              <w:t>项目名称</w:t>
            </w:r>
          </w:p>
        </w:tc>
        <w:tc>
          <w:tcPr>
            <w:tcW w:w="3804" w:type="pct"/>
            <w:vAlign w:val="center"/>
          </w:tcPr>
          <w:p w14:paraId="32541527">
            <w:pPr>
              <w:widowControl/>
              <w:jc w:val="center"/>
              <w:rPr>
                <w:rFonts w:ascii="宋体" w:hAnsi="宋体" w:cs="宋体"/>
                <w:color w:val="auto"/>
                <w:szCs w:val="21"/>
              </w:rPr>
            </w:pPr>
          </w:p>
        </w:tc>
      </w:tr>
      <w:tr w14:paraId="37FAB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195" w:type="pct"/>
            <w:vAlign w:val="center"/>
          </w:tcPr>
          <w:p w14:paraId="16F145D7">
            <w:pPr>
              <w:jc w:val="center"/>
              <w:rPr>
                <w:rFonts w:ascii="宋体" w:hAnsi="宋体" w:cs="宋体"/>
                <w:color w:val="auto"/>
                <w:szCs w:val="21"/>
              </w:rPr>
            </w:pPr>
            <w:r>
              <w:rPr>
                <w:rFonts w:hint="eastAsia" w:ascii="宋体" w:hAnsi="宋体" w:cs="宋体"/>
                <w:color w:val="auto"/>
                <w:szCs w:val="21"/>
              </w:rPr>
              <w:t>项目编号</w:t>
            </w:r>
          </w:p>
        </w:tc>
        <w:tc>
          <w:tcPr>
            <w:tcW w:w="3804" w:type="pct"/>
            <w:vAlign w:val="center"/>
          </w:tcPr>
          <w:p w14:paraId="139EBCF0">
            <w:pPr>
              <w:widowControl/>
              <w:jc w:val="center"/>
              <w:rPr>
                <w:rFonts w:ascii="宋体" w:hAnsi="宋体" w:cs="宋体"/>
                <w:color w:val="auto"/>
                <w:szCs w:val="21"/>
              </w:rPr>
            </w:pPr>
          </w:p>
        </w:tc>
      </w:tr>
      <w:tr w14:paraId="63116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1195" w:type="pct"/>
            <w:vAlign w:val="center"/>
          </w:tcPr>
          <w:p w14:paraId="0A353803">
            <w:pPr>
              <w:jc w:val="center"/>
              <w:rPr>
                <w:rFonts w:ascii="宋体" w:hAnsi="宋体" w:cs="宋体"/>
                <w:color w:val="auto"/>
                <w:szCs w:val="21"/>
              </w:rPr>
            </w:pPr>
            <w:r>
              <w:rPr>
                <w:rFonts w:hint="eastAsia" w:ascii="宋体" w:hAnsi="宋体" w:cs="宋体"/>
                <w:color w:val="auto"/>
                <w:szCs w:val="21"/>
              </w:rPr>
              <w:t>项目总价</w:t>
            </w:r>
          </w:p>
        </w:tc>
        <w:tc>
          <w:tcPr>
            <w:tcW w:w="3804" w:type="pct"/>
            <w:vAlign w:val="center"/>
          </w:tcPr>
          <w:p w14:paraId="3FED1DB7">
            <w:pPr>
              <w:widowControl/>
              <w:jc w:val="center"/>
              <w:rPr>
                <w:rFonts w:ascii="宋体" w:hAnsi="宋体" w:cs="宋体"/>
                <w:color w:val="auto"/>
                <w:szCs w:val="21"/>
              </w:rPr>
            </w:pPr>
          </w:p>
        </w:tc>
      </w:tr>
      <w:tr w14:paraId="2D3DE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1195" w:type="pct"/>
            <w:vAlign w:val="center"/>
          </w:tcPr>
          <w:p w14:paraId="03398CB7">
            <w:pPr>
              <w:jc w:val="center"/>
              <w:rPr>
                <w:rFonts w:ascii="宋体" w:hAnsi="宋体" w:cs="宋体"/>
                <w:color w:val="auto"/>
                <w:szCs w:val="21"/>
                <w:highlight w:val="none"/>
              </w:rPr>
            </w:pPr>
            <w:r>
              <w:rPr>
                <w:rFonts w:hint="eastAsia" w:ascii="宋体" w:hAnsi="宋体"/>
                <w:color w:val="auto"/>
                <w:szCs w:val="21"/>
                <w:highlight w:val="none"/>
              </w:rPr>
              <w:t>服务期限</w:t>
            </w:r>
          </w:p>
        </w:tc>
        <w:tc>
          <w:tcPr>
            <w:tcW w:w="3804" w:type="pct"/>
            <w:vAlign w:val="center"/>
          </w:tcPr>
          <w:p w14:paraId="4351CD31">
            <w:pPr>
              <w:widowControl/>
              <w:jc w:val="center"/>
              <w:rPr>
                <w:rFonts w:ascii="宋体" w:hAnsi="宋体" w:cs="宋体"/>
                <w:color w:val="auto"/>
                <w:szCs w:val="21"/>
                <w:highlight w:val="none"/>
              </w:rPr>
            </w:pPr>
            <w:r>
              <w:rPr>
                <w:rFonts w:hint="eastAsia" w:ascii="宋体" w:hAnsi="宋体"/>
                <w:color w:val="auto"/>
                <w:szCs w:val="21"/>
                <w:highlight w:val="none"/>
              </w:rPr>
              <w:t>年</w:t>
            </w:r>
          </w:p>
        </w:tc>
      </w:tr>
    </w:tbl>
    <w:p w14:paraId="2333F7ED">
      <w:pPr>
        <w:rPr>
          <w:rFonts w:ascii="宋体" w:hAnsi="宋体"/>
          <w:color w:val="auto"/>
          <w:sz w:val="21"/>
          <w:szCs w:val="21"/>
        </w:rPr>
      </w:pPr>
    </w:p>
    <w:p w14:paraId="78EF895B">
      <w:pPr>
        <w:pStyle w:val="82"/>
        <w:spacing w:line="360" w:lineRule="exact"/>
        <w:ind w:firstLine="4620"/>
        <w:jc w:val="right"/>
        <w:rPr>
          <w:rFonts w:hAnsi="宋体"/>
          <w:color w:val="auto"/>
          <w:sz w:val="21"/>
          <w:szCs w:val="21"/>
        </w:rPr>
      </w:pPr>
      <w:r>
        <w:rPr>
          <w:rFonts w:hint="eastAsia" w:hAnsi="宋体" w:eastAsia="宋体"/>
          <w:color w:val="auto"/>
          <w:sz w:val="21"/>
          <w:szCs w:val="21"/>
        </w:rPr>
        <w:t>年     月     日</w:t>
      </w:r>
      <w:r>
        <w:rPr>
          <w:rFonts w:hint="eastAsia" w:hAnsi="宋体"/>
          <w:color w:val="auto"/>
          <w:sz w:val="21"/>
          <w:szCs w:val="21"/>
        </w:rPr>
        <w:t xml:space="preserve"> </w:t>
      </w:r>
    </w:p>
    <w:p w14:paraId="200EBB03">
      <w:pPr>
        <w:spacing w:line="360" w:lineRule="auto"/>
        <w:jc w:val="center"/>
        <w:rPr>
          <w:rFonts w:ascii="宋体" w:hAnsi="宋体"/>
          <w:b/>
          <w:color w:val="auto"/>
          <w:sz w:val="21"/>
          <w:szCs w:val="21"/>
        </w:rPr>
        <w:sectPr>
          <w:headerReference r:id="rId5" w:type="first"/>
          <w:headerReference r:id="rId3" w:type="default"/>
          <w:footerReference r:id="rId6" w:type="default"/>
          <w:headerReference r:id="rId4" w:type="even"/>
          <w:footerReference r:id="rId7" w:type="even"/>
          <w:pgSz w:w="11907" w:h="16839"/>
          <w:pgMar w:top="1440" w:right="1800" w:bottom="1440" w:left="1800" w:header="851" w:footer="992" w:gutter="0"/>
          <w:cols w:space="720" w:num="1"/>
          <w:docGrid w:type="lines" w:linePitch="312" w:charSpace="0"/>
        </w:sectPr>
      </w:pPr>
    </w:p>
    <w:p w14:paraId="28EA9004">
      <w:pPr>
        <w:outlineLvl w:val="1"/>
        <w:rPr>
          <w:rFonts w:ascii="宋体" w:hAnsi="宋体" w:cs="宋体"/>
          <w:b/>
          <w:color w:val="auto"/>
          <w:sz w:val="21"/>
          <w:szCs w:val="21"/>
        </w:rPr>
      </w:pPr>
      <w:r>
        <w:rPr>
          <w:rFonts w:hint="eastAsia" w:ascii="宋体" w:hAnsi="宋体" w:cs="宋体"/>
          <w:b/>
          <w:color w:val="auto"/>
          <w:kern w:val="0"/>
          <w:sz w:val="21"/>
          <w:szCs w:val="21"/>
        </w:rPr>
        <w:t>附件：6.报价明细表</w:t>
      </w:r>
    </w:p>
    <w:p w14:paraId="67845D62">
      <w:pPr>
        <w:spacing w:line="360" w:lineRule="auto"/>
        <w:jc w:val="center"/>
        <w:rPr>
          <w:rFonts w:ascii="宋体" w:hAnsi="宋体"/>
          <w:b/>
          <w:color w:val="auto"/>
          <w:sz w:val="21"/>
          <w:szCs w:val="21"/>
        </w:rPr>
      </w:pPr>
      <w:r>
        <w:rPr>
          <w:rFonts w:hint="eastAsia" w:ascii="宋体" w:hAnsi="宋体"/>
          <w:b/>
          <w:color w:val="auto"/>
          <w:sz w:val="21"/>
          <w:szCs w:val="21"/>
        </w:rPr>
        <w:t>报价明细表</w:t>
      </w:r>
    </w:p>
    <w:p w14:paraId="371711B7">
      <w:pPr>
        <w:snapToGrid w:val="0"/>
        <w:spacing w:line="360" w:lineRule="auto"/>
        <w:rPr>
          <w:rFonts w:ascii="宋体" w:hAnsi="宋体"/>
          <w:color w:val="auto"/>
          <w:sz w:val="21"/>
          <w:szCs w:val="21"/>
        </w:rPr>
      </w:pPr>
      <w:r>
        <w:rPr>
          <w:rFonts w:hint="eastAsia" w:ascii="宋体" w:hAnsi="宋体"/>
          <w:color w:val="auto"/>
          <w:sz w:val="21"/>
          <w:szCs w:val="21"/>
        </w:rPr>
        <w:t>项目编号：</w:t>
      </w:r>
      <w:r>
        <w:rPr>
          <w:rFonts w:hint="eastAsia" w:ascii="宋体" w:hAnsi="宋体"/>
          <w:color w:val="auto"/>
          <w:sz w:val="21"/>
          <w:szCs w:val="21"/>
          <w:u w:val="single"/>
        </w:rPr>
        <w:t xml:space="preserve">                          </w:t>
      </w:r>
      <w:r>
        <w:rPr>
          <w:rFonts w:hint="eastAsia" w:ascii="宋体" w:hAnsi="宋体" w:cs="宋体"/>
          <w:color w:val="auto"/>
          <w:sz w:val="21"/>
          <w:szCs w:val="21"/>
        </w:rPr>
        <w:t> </w:t>
      </w:r>
    </w:p>
    <w:p w14:paraId="047D9EF6">
      <w:pPr>
        <w:widowControl/>
        <w:snapToGrid w:val="0"/>
        <w:spacing w:line="360" w:lineRule="auto"/>
        <w:rPr>
          <w:rFonts w:hint="eastAsia" w:ascii="宋体" w:hAnsi="宋体" w:cs="宋体"/>
          <w:color w:val="auto"/>
          <w:szCs w:val="21"/>
        </w:rPr>
      </w:pPr>
    </w:p>
    <w:p w14:paraId="698C7627">
      <w:pPr>
        <w:widowControl/>
        <w:snapToGrid w:val="0"/>
        <w:spacing w:line="360" w:lineRule="auto"/>
        <w:rPr>
          <w:rFonts w:hint="eastAsia" w:ascii="宋体" w:hAnsi="宋体" w:cs="Arial"/>
          <w:color w:val="auto"/>
          <w:kern w:val="0"/>
          <w:sz w:val="21"/>
          <w:szCs w:val="21"/>
        </w:rPr>
      </w:pPr>
      <w:r>
        <w:rPr>
          <w:rFonts w:hint="eastAsia" w:ascii="宋体" w:hAnsi="宋体" w:cs="宋体"/>
          <w:color w:val="auto"/>
          <w:szCs w:val="21"/>
        </w:rPr>
        <w:t>格式自拟</w:t>
      </w:r>
    </w:p>
    <w:p w14:paraId="6AA92BEF">
      <w:pPr>
        <w:widowControl/>
        <w:snapToGrid w:val="0"/>
        <w:spacing w:line="360" w:lineRule="auto"/>
        <w:rPr>
          <w:rFonts w:hint="eastAsia" w:ascii="宋体" w:hAnsi="宋体" w:cs="Arial"/>
          <w:color w:val="auto"/>
          <w:kern w:val="0"/>
          <w:sz w:val="21"/>
          <w:szCs w:val="21"/>
        </w:rPr>
      </w:pPr>
    </w:p>
    <w:p w14:paraId="4E1F39A5">
      <w:pPr>
        <w:widowControl/>
        <w:snapToGrid w:val="0"/>
        <w:spacing w:line="360" w:lineRule="auto"/>
        <w:rPr>
          <w:rFonts w:ascii="宋体" w:hAnsi="宋体" w:cs="Arial"/>
          <w:color w:val="auto"/>
          <w:kern w:val="0"/>
          <w:sz w:val="21"/>
          <w:szCs w:val="21"/>
        </w:rPr>
      </w:pPr>
      <w:r>
        <w:rPr>
          <w:rFonts w:hint="eastAsia" w:ascii="宋体" w:hAnsi="宋体" w:cs="Arial"/>
          <w:color w:val="auto"/>
          <w:kern w:val="0"/>
          <w:sz w:val="21"/>
          <w:szCs w:val="21"/>
        </w:rPr>
        <w:t>供应商名称（公章）：</w:t>
      </w:r>
    </w:p>
    <w:p w14:paraId="04677761">
      <w:pPr>
        <w:snapToGrid w:val="0"/>
        <w:spacing w:line="360" w:lineRule="auto"/>
        <w:rPr>
          <w:color w:val="auto"/>
          <w:sz w:val="21"/>
          <w:szCs w:val="21"/>
        </w:rPr>
      </w:pPr>
      <w:r>
        <w:rPr>
          <w:rFonts w:hint="eastAsia"/>
          <w:color w:val="auto"/>
          <w:sz w:val="21"/>
          <w:szCs w:val="21"/>
        </w:rPr>
        <w:t>表式参考，可根据项目情况自行调整</w:t>
      </w:r>
    </w:p>
    <w:p w14:paraId="0A0E41DC">
      <w:pPr>
        <w:snapToGrid w:val="0"/>
        <w:spacing w:line="360" w:lineRule="auto"/>
        <w:rPr>
          <w:b/>
          <w:bCs/>
          <w:color w:val="auto"/>
          <w:sz w:val="21"/>
          <w:szCs w:val="21"/>
        </w:rPr>
      </w:pPr>
    </w:p>
    <w:p w14:paraId="25DDC896">
      <w:pPr>
        <w:rPr>
          <w:rFonts w:ascii="宋体" w:hAnsi="宋体" w:cs="宋体"/>
          <w:b/>
          <w:color w:val="auto"/>
          <w:sz w:val="21"/>
          <w:szCs w:val="21"/>
        </w:rPr>
      </w:pPr>
    </w:p>
    <w:p w14:paraId="5A545247">
      <w:pPr>
        <w:rPr>
          <w:rFonts w:ascii="宋体" w:hAnsi="宋体" w:cs="宋体"/>
          <w:b/>
          <w:color w:val="auto"/>
          <w:sz w:val="21"/>
          <w:szCs w:val="21"/>
        </w:rPr>
      </w:pPr>
    </w:p>
    <w:p w14:paraId="1FFFFE68">
      <w:pPr>
        <w:rPr>
          <w:rFonts w:ascii="宋体" w:hAnsi="宋体" w:cs="宋体"/>
          <w:color w:val="auto"/>
          <w:kern w:val="0"/>
          <w:sz w:val="21"/>
          <w:szCs w:val="21"/>
        </w:rPr>
      </w:pPr>
      <w:r>
        <w:rPr>
          <w:rFonts w:hint="eastAsia" w:ascii="宋体" w:hAnsi="宋体" w:cs="宋体"/>
          <w:color w:val="auto"/>
          <w:kern w:val="0"/>
          <w:sz w:val="21"/>
          <w:szCs w:val="21"/>
        </w:rPr>
        <w:br w:type="page"/>
      </w:r>
    </w:p>
    <w:p w14:paraId="2B790303">
      <w:pPr>
        <w:outlineLvl w:val="1"/>
        <w:rPr>
          <w:rFonts w:ascii="宋体" w:hAnsi="宋体" w:cs="宋体"/>
          <w:b/>
          <w:color w:val="auto"/>
          <w:kern w:val="0"/>
          <w:sz w:val="21"/>
          <w:szCs w:val="21"/>
        </w:rPr>
      </w:pPr>
      <w:r>
        <w:rPr>
          <w:rFonts w:hint="eastAsia" w:ascii="宋体" w:hAnsi="宋体" w:cs="宋体"/>
          <w:b/>
          <w:color w:val="auto"/>
          <w:kern w:val="0"/>
          <w:sz w:val="21"/>
          <w:szCs w:val="21"/>
        </w:rPr>
        <w:t>附件：7.质保</w:t>
      </w:r>
      <w:r>
        <w:rPr>
          <w:rFonts w:ascii="宋体" w:hAnsi="宋体" w:cs="宋体"/>
          <w:b/>
          <w:color w:val="auto"/>
          <w:kern w:val="0"/>
          <w:sz w:val="21"/>
          <w:szCs w:val="21"/>
        </w:rPr>
        <w:t>及售后</w:t>
      </w:r>
      <w:r>
        <w:rPr>
          <w:rFonts w:hint="eastAsia" w:ascii="宋体" w:hAnsi="宋体" w:cs="宋体"/>
          <w:b/>
          <w:color w:val="auto"/>
          <w:kern w:val="0"/>
          <w:sz w:val="21"/>
          <w:szCs w:val="21"/>
        </w:rPr>
        <w:t>服务承诺书</w:t>
      </w:r>
    </w:p>
    <w:p w14:paraId="16382721">
      <w:pPr>
        <w:jc w:val="center"/>
        <w:rPr>
          <w:b/>
          <w:color w:val="auto"/>
          <w:sz w:val="21"/>
          <w:szCs w:val="21"/>
        </w:rPr>
      </w:pPr>
    </w:p>
    <w:p w14:paraId="2F1D7935">
      <w:pPr>
        <w:jc w:val="center"/>
        <w:rPr>
          <w:b/>
          <w:color w:val="auto"/>
          <w:sz w:val="21"/>
          <w:szCs w:val="21"/>
        </w:rPr>
      </w:pPr>
      <w:r>
        <w:rPr>
          <w:rFonts w:hint="eastAsia"/>
          <w:b/>
          <w:color w:val="auto"/>
          <w:sz w:val="21"/>
          <w:szCs w:val="21"/>
        </w:rPr>
        <w:t>质保</w:t>
      </w:r>
      <w:r>
        <w:rPr>
          <w:b/>
          <w:color w:val="auto"/>
          <w:sz w:val="21"/>
          <w:szCs w:val="21"/>
        </w:rPr>
        <w:t>及售后</w:t>
      </w:r>
      <w:r>
        <w:rPr>
          <w:rFonts w:hint="eastAsia"/>
          <w:b/>
          <w:color w:val="auto"/>
          <w:sz w:val="21"/>
          <w:szCs w:val="21"/>
        </w:rPr>
        <w:t>服务承诺书</w:t>
      </w:r>
    </w:p>
    <w:p w14:paraId="433604FD">
      <w:pPr>
        <w:spacing w:line="360" w:lineRule="auto"/>
        <w:rPr>
          <w:rFonts w:ascii="宋体" w:hAnsi="宋体" w:cs="宋体"/>
          <w:color w:val="auto"/>
          <w:sz w:val="21"/>
          <w:szCs w:val="21"/>
        </w:rPr>
      </w:pPr>
    </w:p>
    <w:p w14:paraId="6CF7274B">
      <w:pPr>
        <w:spacing w:line="360" w:lineRule="auto"/>
        <w:rPr>
          <w:rFonts w:ascii="宋体" w:hAnsi="宋体" w:cs="宋体"/>
          <w:color w:val="auto"/>
          <w:sz w:val="21"/>
          <w:szCs w:val="21"/>
        </w:rPr>
      </w:pPr>
      <w:r>
        <w:rPr>
          <w:rFonts w:hint="eastAsia" w:ascii="宋体" w:hAnsi="宋体" w:cs="宋体"/>
          <w:color w:val="auto"/>
          <w:sz w:val="21"/>
          <w:szCs w:val="21"/>
        </w:rPr>
        <w:t>服务承诺如下：</w:t>
      </w:r>
    </w:p>
    <w:p w14:paraId="0C438233">
      <w:pPr>
        <w:spacing w:line="360" w:lineRule="auto"/>
        <w:rPr>
          <w:rFonts w:ascii="宋体" w:hAnsi="宋体" w:cs="宋体"/>
          <w:color w:val="auto"/>
          <w:sz w:val="21"/>
          <w:szCs w:val="21"/>
        </w:rPr>
      </w:pPr>
    </w:p>
    <w:p w14:paraId="70FF46CA">
      <w:pPr>
        <w:spacing w:line="360" w:lineRule="auto"/>
        <w:rPr>
          <w:rFonts w:ascii="宋体" w:hAnsi="宋体" w:cs="宋体"/>
          <w:color w:val="auto"/>
          <w:sz w:val="21"/>
          <w:szCs w:val="21"/>
        </w:rPr>
      </w:pPr>
    </w:p>
    <w:p w14:paraId="46D0C785">
      <w:pPr>
        <w:spacing w:line="360" w:lineRule="auto"/>
        <w:rPr>
          <w:rFonts w:ascii="宋体" w:hAnsi="宋体" w:cs="宋体"/>
          <w:color w:val="auto"/>
          <w:sz w:val="21"/>
          <w:szCs w:val="21"/>
        </w:rPr>
      </w:pPr>
      <w:r>
        <w:rPr>
          <w:rFonts w:hint="eastAsia" w:ascii="宋体" w:hAnsi="宋体" w:cs="宋体"/>
          <w:color w:val="auto"/>
          <w:sz w:val="21"/>
          <w:szCs w:val="21"/>
        </w:rPr>
        <w:t>质保</w:t>
      </w:r>
      <w:r>
        <w:rPr>
          <w:rFonts w:ascii="宋体" w:hAnsi="宋体" w:cs="宋体"/>
          <w:color w:val="auto"/>
          <w:sz w:val="21"/>
          <w:szCs w:val="21"/>
        </w:rPr>
        <w:t>承诺如下：</w:t>
      </w:r>
    </w:p>
    <w:p w14:paraId="0BDCC28D">
      <w:pPr>
        <w:spacing w:line="360" w:lineRule="auto"/>
        <w:rPr>
          <w:rFonts w:ascii="宋体" w:hAnsi="宋体" w:cs="宋体"/>
          <w:color w:val="auto"/>
          <w:sz w:val="21"/>
          <w:szCs w:val="21"/>
        </w:rPr>
      </w:pPr>
    </w:p>
    <w:p w14:paraId="4C4721F0">
      <w:pPr>
        <w:spacing w:line="360" w:lineRule="auto"/>
        <w:rPr>
          <w:rFonts w:ascii="宋体" w:hAnsi="宋体" w:cs="宋体"/>
          <w:color w:val="auto"/>
          <w:sz w:val="21"/>
          <w:szCs w:val="21"/>
        </w:rPr>
      </w:pPr>
    </w:p>
    <w:p w14:paraId="61EC0B05">
      <w:pPr>
        <w:spacing w:line="360" w:lineRule="exact"/>
        <w:rPr>
          <w:rFonts w:ascii="宋体" w:hAnsi="宋体" w:cs="宋体"/>
          <w:color w:val="auto"/>
          <w:sz w:val="21"/>
          <w:szCs w:val="21"/>
        </w:rPr>
      </w:pPr>
      <w:r>
        <w:rPr>
          <w:rFonts w:hint="eastAsia" w:ascii="宋体" w:hAnsi="宋体" w:cs="宋体"/>
          <w:color w:val="auto"/>
          <w:sz w:val="21"/>
          <w:szCs w:val="21"/>
        </w:rPr>
        <w:t>供应商</w:t>
      </w:r>
      <w:r>
        <w:rPr>
          <w:rFonts w:hint="eastAsia" w:ascii="宋体" w:hAnsi="宋体"/>
          <w:color w:val="auto"/>
          <w:sz w:val="21"/>
          <w:szCs w:val="21"/>
        </w:rPr>
        <w:t>名称（公章）：</w:t>
      </w:r>
    </w:p>
    <w:p w14:paraId="24BB3112">
      <w:pPr>
        <w:spacing w:line="360" w:lineRule="exact"/>
        <w:rPr>
          <w:rFonts w:ascii="宋体" w:hAnsi="宋体" w:cs="宋体"/>
          <w:color w:val="auto"/>
          <w:sz w:val="21"/>
          <w:szCs w:val="21"/>
        </w:rPr>
      </w:pPr>
      <w:r>
        <w:rPr>
          <w:rFonts w:hint="eastAsia" w:ascii="宋体" w:hAnsi="宋体" w:cs="宋体"/>
          <w:color w:val="auto"/>
          <w:sz w:val="21"/>
          <w:szCs w:val="21"/>
        </w:rPr>
        <w:t>日期：      年  月   日</w:t>
      </w:r>
    </w:p>
    <w:p w14:paraId="47A57BD8">
      <w:pPr>
        <w:rPr>
          <w:rFonts w:ascii="宋体" w:hAnsi="宋体" w:cs="宋体"/>
          <w:color w:val="auto"/>
          <w:sz w:val="21"/>
          <w:szCs w:val="21"/>
        </w:rPr>
      </w:pPr>
    </w:p>
    <w:p w14:paraId="1605A668">
      <w:pPr>
        <w:rPr>
          <w:rFonts w:ascii="宋体" w:hAnsi="宋体" w:cs="宋体"/>
          <w:color w:val="auto"/>
          <w:sz w:val="21"/>
          <w:szCs w:val="21"/>
        </w:rPr>
      </w:pPr>
    </w:p>
    <w:p w14:paraId="18AF44BB">
      <w:pPr>
        <w:rPr>
          <w:rFonts w:ascii="宋体" w:hAnsi="宋体" w:cs="宋体"/>
          <w:color w:val="auto"/>
          <w:sz w:val="21"/>
          <w:szCs w:val="21"/>
        </w:rPr>
      </w:pPr>
    </w:p>
    <w:p w14:paraId="693C5435">
      <w:pPr>
        <w:outlineLvl w:val="1"/>
        <w:rPr>
          <w:rFonts w:ascii="宋体" w:hAnsi="宋体" w:cs="宋体"/>
          <w:b/>
          <w:color w:val="auto"/>
          <w:kern w:val="0"/>
          <w:sz w:val="21"/>
          <w:szCs w:val="21"/>
        </w:rPr>
      </w:pPr>
      <w:r>
        <w:rPr>
          <w:rFonts w:hint="eastAsia" w:ascii="宋体" w:hAnsi="宋体" w:cs="宋体"/>
          <w:b/>
          <w:color w:val="auto"/>
          <w:kern w:val="0"/>
          <w:sz w:val="21"/>
          <w:szCs w:val="21"/>
        </w:rPr>
        <w:t>附件：8.偏离表</w:t>
      </w:r>
    </w:p>
    <w:p w14:paraId="7326F4B1">
      <w:pPr>
        <w:jc w:val="center"/>
        <w:rPr>
          <w:rFonts w:ascii="宋体" w:hAnsi="宋体" w:cs="宋体"/>
          <w:b/>
          <w:color w:val="auto"/>
          <w:sz w:val="21"/>
          <w:szCs w:val="21"/>
        </w:rPr>
      </w:pPr>
      <w:r>
        <w:rPr>
          <w:rFonts w:hint="eastAsia" w:ascii="宋体" w:hAnsi="宋体" w:cs="宋体"/>
          <w:b/>
          <w:color w:val="auto"/>
          <w:sz w:val="21"/>
          <w:szCs w:val="21"/>
        </w:rPr>
        <w:t>偏 离 表</w:t>
      </w:r>
    </w:p>
    <w:p w14:paraId="1F1750F8">
      <w:pPr>
        <w:ind w:firstLine="420" w:firstLineChars="200"/>
        <w:rPr>
          <w:rFonts w:ascii="宋体" w:hAnsi="宋体" w:cs="宋体"/>
          <w:color w:val="auto"/>
          <w:sz w:val="21"/>
          <w:szCs w:val="21"/>
        </w:rPr>
      </w:pPr>
      <w:r>
        <w:rPr>
          <w:rFonts w:hint="eastAsia" w:ascii="宋体" w:hAnsi="宋体" w:cs="宋体"/>
          <w:color w:val="auto"/>
          <w:sz w:val="21"/>
          <w:szCs w:val="21"/>
        </w:rPr>
        <w:t>供应商应对询价通知书中规定的商务及技术部分给予充分的考虑。为了评审的需要，供应商应将这些条款的异议逐条提出或根据以下要求的格式提出偏离。</w:t>
      </w:r>
    </w:p>
    <w:p w14:paraId="6DE995C7">
      <w:pPr>
        <w:ind w:firstLine="420" w:firstLineChars="200"/>
        <w:rPr>
          <w:rFonts w:ascii="宋体" w:hAnsi="宋体" w:cs="宋体"/>
          <w:color w:val="auto"/>
          <w:sz w:val="21"/>
          <w:szCs w:val="21"/>
        </w:rPr>
      </w:pPr>
      <w:r>
        <w:rPr>
          <w:rFonts w:hint="eastAsia" w:ascii="宋体" w:hAnsi="宋体" w:cs="宋体"/>
          <w:color w:val="auto"/>
          <w:sz w:val="21"/>
          <w:szCs w:val="21"/>
        </w:rPr>
        <w:t xml:space="preserve">如无偏离，请在本表格中写“无”，并附在响应文件中。          </w:t>
      </w:r>
    </w:p>
    <w:p w14:paraId="6275A38E">
      <w:pPr>
        <w:ind w:firstLine="420" w:firstLineChars="200"/>
        <w:rPr>
          <w:rFonts w:ascii="宋体" w:hAnsi="宋体" w:cs="宋体"/>
          <w:color w:val="auto"/>
          <w:sz w:val="21"/>
          <w:szCs w:val="21"/>
        </w:rPr>
      </w:pPr>
      <w:r>
        <w:rPr>
          <w:rFonts w:hint="eastAsia" w:ascii="宋体" w:hAnsi="宋体" w:cs="宋体"/>
          <w:color w:val="auto"/>
          <w:sz w:val="21"/>
          <w:szCs w:val="21"/>
        </w:rPr>
        <w:t>项目编号：</w:t>
      </w:r>
    </w:p>
    <w:tbl>
      <w:tblPr>
        <w:tblStyle w:val="20"/>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3044"/>
        <w:gridCol w:w="1440"/>
      </w:tblGrid>
      <w:tr w14:paraId="4E332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vAlign w:val="center"/>
          </w:tcPr>
          <w:p w14:paraId="46A01275">
            <w:pPr>
              <w:rPr>
                <w:rFonts w:ascii="宋体" w:hAnsi="宋体" w:cs="宋体"/>
                <w:color w:val="auto"/>
                <w:sz w:val="21"/>
                <w:szCs w:val="21"/>
              </w:rPr>
            </w:pPr>
            <w:r>
              <w:rPr>
                <w:rFonts w:hint="eastAsia" w:ascii="宋体" w:hAnsi="宋体" w:cs="宋体"/>
                <w:color w:val="auto"/>
                <w:sz w:val="21"/>
                <w:szCs w:val="21"/>
              </w:rPr>
              <w:t>章节号</w:t>
            </w:r>
          </w:p>
        </w:tc>
        <w:tc>
          <w:tcPr>
            <w:tcW w:w="2132" w:type="dxa"/>
            <w:vAlign w:val="center"/>
          </w:tcPr>
          <w:p w14:paraId="1539B41C">
            <w:pPr>
              <w:rPr>
                <w:rFonts w:ascii="宋体" w:hAnsi="宋体" w:cs="宋体"/>
                <w:color w:val="auto"/>
                <w:sz w:val="21"/>
                <w:szCs w:val="21"/>
              </w:rPr>
            </w:pPr>
            <w:r>
              <w:rPr>
                <w:rFonts w:hint="eastAsia" w:ascii="宋体" w:hAnsi="宋体" w:cs="宋体"/>
                <w:color w:val="auto"/>
                <w:sz w:val="21"/>
                <w:szCs w:val="21"/>
              </w:rPr>
              <w:t>供应商的偏离</w:t>
            </w:r>
          </w:p>
        </w:tc>
        <w:tc>
          <w:tcPr>
            <w:tcW w:w="3044" w:type="dxa"/>
            <w:vAlign w:val="center"/>
          </w:tcPr>
          <w:p w14:paraId="0B7F4B02">
            <w:pPr>
              <w:rPr>
                <w:rFonts w:ascii="宋体" w:hAnsi="宋体" w:cs="宋体"/>
                <w:color w:val="auto"/>
                <w:sz w:val="21"/>
                <w:szCs w:val="21"/>
              </w:rPr>
            </w:pPr>
            <w:r>
              <w:rPr>
                <w:rFonts w:hint="eastAsia" w:ascii="宋体" w:hAnsi="宋体" w:cs="宋体"/>
                <w:color w:val="auto"/>
                <w:sz w:val="21"/>
                <w:szCs w:val="21"/>
              </w:rPr>
              <w:t>供应商偏离的理由</w:t>
            </w:r>
          </w:p>
        </w:tc>
        <w:tc>
          <w:tcPr>
            <w:tcW w:w="1440" w:type="dxa"/>
            <w:vAlign w:val="center"/>
          </w:tcPr>
          <w:p w14:paraId="4EA3CBBA">
            <w:pPr>
              <w:rPr>
                <w:rFonts w:ascii="宋体" w:hAnsi="宋体" w:cs="宋体"/>
                <w:color w:val="auto"/>
                <w:sz w:val="21"/>
                <w:szCs w:val="21"/>
              </w:rPr>
            </w:pPr>
            <w:r>
              <w:rPr>
                <w:rFonts w:hint="eastAsia" w:ascii="宋体" w:hAnsi="宋体" w:cs="宋体"/>
                <w:color w:val="auto"/>
                <w:sz w:val="21"/>
                <w:szCs w:val="21"/>
              </w:rPr>
              <w:t>备注</w:t>
            </w:r>
          </w:p>
        </w:tc>
      </w:tr>
      <w:tr w14:paraId="48E80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5B15DE7C">
            <w:pPr>
              <w:rPr>
                <w:rFonts w:ascii="宋体" w:hAnsi="宋体" w:cs="宋体"/>
                <w:color w:val="auto"/>
                <w:sz w:val="21"/>
                <w:szCs w:val="21"/>
              </w:rPr>
            </w:pPr>
          </w:p>
        </w:tc>
        <w:tc>
          <w:tcPr>
            <w:tcW w:w="2132" w:type="dxa"/>
          </w:tcPr>
          <w:p w14:paraId="5AF1894E">
            <w:pPr>
              <w:rPr>
                <w:rFonts w:ascii="宋体" w:hAnsi="宋体" w:cs="宋体"/>
                <w:color w:val="auto"/>
                <w:sz w:val="21"/>
                <w:szCs w:val="21"/>
              </w:rPr>
            </w:pPr>
          </w:p>
        </w:tc>
        <w:tc>
          <w:tcPr>
            <w:tcW w:w="3044" w:type="dxa"/>
          </w:tcPr>
          <w:p w14:paraId="190036E8">
            <w:pPr>
              <w:rPr>
                <w:rFonts w:ascii="宋体" w:hAnsi="宋体" w:cs="宋体"/>
                <w:color w:val="auto"/>
                <w:sz w:val="21"/>
                <w:szCs w:val="21"/>
              </w:rPr>
            </w:pPr>
          </w:p>
        </w:tc>
        <w:tc>
          <w:tcPr>
            <w:tcW w:w="1440" w:type="dxa"/>
          </w:tcPr>
          <w:p w14:paraId="3BF5FD1A">
            <w:pPr>
              <w:rPr>
                <w:rFonts w:ascii="宋体" w:hAnsi="宋体" w:cs="宋体"/>
                <w:color w:val="auto"/>
                <w:sz w:val="21"/>
                <w:szCs w:val="21"/>
              </w:rPr>
            </w:pPr>
          </w:p>
        </w:tc>
      </w:tr>
      <w:tr w14:paraId="66158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5621D199">
            <w:pPr>
              <w:rPr>
                <w:rFonts w:ascii="宋体" w:hAnsi="宋体" w:cs="宋体"/>
                <w:color w:val="auto"/>
                <w:sz w:val="21"/>
                <w:szCs w:val="21"/>
              </w:rPr>
            </w:pPr>
          </w:p>
        </w:tc>
        <w:tc>
          <w:tcPr>
            <w:tcW w:w="2132" w:type="dxa"/>
          </w:tcPr>
          <w:p w14:paraId="7345D30D">
            <w:pPr>
              <w:rPr>
                <w:rFonts w:ascii="宋体" w:hAnsi="宋体" w:cs="宋体"/>
                <w:color w:val="auto"/>
                <w:sz w:val="21"/>
                <w:szCs w:val="21"/>
              </w:rPr>
            </w:pPr>
          </w:p>
        </w:tc>
        <w:tc>
          <w:tcPr>
            <w:tcW w:w="3044" w:type="dxa"/>
          </w:tcPr>
          <w:p w14:paraId="7E455AA2">
            <w:pPr>
              <w:rPr>
                <w:rFonts w:ascii="宋体" w:hAnsi="宋体" w:cs="宋体"/>
                <w:color w:val="auto"/>
                <w:sz w:val="21"/>
                <w:szCs w:val="21"/>
              </w:rPr>
            </w:pPr>
          </w:p>
        </w:tc>
        <w:tc>
          <w:tcPr>
            <w:tcW w:w="1440" w:type="dxa"/>
          </w:tcPr>
          <w:p w14:paraId="5345AE70">
            <w:pPr>
              <w:rPr>
                <w:rFonts w:ascii="宋体" w:hAnsi="宋体" w:cs="宋体"/>
                <w:color w:val="auto"/>
                <w:sz w:val="21"/>
                <w:szCs w:val="21"/>
              </w:rPr>
            </w:pPr>
          </w:p>
        </w:tc>
      </w:tr>
      <w:tr w14:paraId="07E30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149D44B7">
            <w:pPr>
              <w:rPr>
                <w:rFonts w:ascii="宋体" w:hAnsi="宋体" w:cs="宋体"/>
                <w:color w:val="auto"/>
                <w:sz w:val="21"/>
                <w:szCs w:val="21"/>
              </w:rPr>
            </w:pPr>
          </w:p>
        </w:tc>
        <w:tc>
          <w:tcPr>
            <w:tcW w:w="2132" w:type="dxa"/>
          </w:tcPr>
          <w:p w14:paraId="5A935E4F">
            <w:pPr>
              <w:rPr>
                <w:rFonts w:ascii="宋体" w:hAnsi="宋体" w:cs="宋体"/>
                <w:color w:val="auto"/>
                <w:sz w:val="21"/>
                <w:szCs w:val="21"/>
              </w:rPr>
            </w:pPr>
          </w:p>
        </w:tc>
        <w:tc>
          <w:tcPr>
            <w:tcW w:w="3044" w:type="dxa"/>
          </w:tcPr>
          <w:p w14:paraId="2698A5AC">
            <w:pPr>
              <w:rPr>
                <w:rFonts w:ascii="宋体" w:hAnsi="宋体" w:cs="宋体"/>
                <w:color w:val="auto"/>
                <w:sz w:val="21"/>
                <w:szCs w:val="21"/>
              </w:rPr>
            </w:pPr>
          </w:p>
        </w:tc>
        <w:tc>
          <w:tcPr>
            <w:tcW w:w="1440" w:type="dxa"/>
          </w:tcPr>
          <w:p w14:paraId="64AB6D65">
            <w:pPr>
              <w:rPr>
                <w:rFonts w:ascii="宋体" w:hAnsi="宋体" w:cs="宋体"/>
                <w:color w:val="auto"/>
                <w:sz w:val="21"/>
                <w:szCs w:val="21"/>
              </w:rPr>
            </w:pPr>
          </w:p>
        </w:tc>
      </w:tr>
    </w:tbl>
    <w:p w14:paraId="4C6B33AC">
      <w:pPr>
        <w:spacing w:line="360" w:lineRule="exact"/>
        <w:rPr>
          <w:rFonts w:ascii="宋体" w:hAnsi="宋体" w:cs="宋体"/>
          <w:color w:val="auto"/>
          <w:sz w:val="21"/>
          <w:szCs w:val="21"/>
        </w:rPr>
      </w:pPr>
      <w:r>
        <w:rPr>
          <w:rFonts w:hint="eastAsia" w:ascii="宋体" w:hAnsi="宋体" w:cs="宋体"/>
          <w:color w:val="auto"/>
          <w:sz w:val="21"/>
          <w:szCs w:val="21"/>
        </w:rPr>
        <w:t>供应商</w:t>
      </w:r>
      <w:r>
        <w:rPr>
          <w:rFonts w:hint="eastAsia" w:ascii="宋体" w:hAnsi="宋体"/>
          <w:color w:val="auto"/>
          <w:sz w:val="21"/>
          <w:szCs w:val="21"/>
        </w:rPr>
        <w:t>名称（公章）：</w:t>
      </w:r>
    </w:p>
    <w:p w14:paraId="144443B6">
      <w:pPr>
        <w:spacing w:line="360" w:lineRule="exact"/>
        <w:rPr>
          <w:rFonts w:ascii="宋体" w:hAnsi="宋体" w:cs="宋体"/>
          <w:color w:val="auto"/>
          <w:sz w:val="21"/>
          <w:szCs w:val="21"/>
        </w:rPr>
      </w:pPr>
      <w:r>
        <w:rPr>
          <w:rFonts w:hint="eastAsia" w:ascii="宋体" w:hAnsi="宋体" w:cs="宋体"/>
          <w:color w:val="auto"/>
          <w:sz w:val="21"/>
          <w:szCs w:val="21"/>
        </w:rPr>
        <w:t>日期：      年  月   日</w:t>
      </w:r>
    </w:p>
    <w:p w14:paraId="67977D44">
      <w:pPr>
        <w:rPr>
          <w:rFonts w:ascii="宋体" w:hAnsi="宋体" w:cs="宋体"/>
          <w:color w:val="auto"/>
          <w:sz w:val="24"/>
          <w:szCs w:val="24"/>
        </w:rPr>
      </w:pPr>
    </w:p>
    <w:p w14:paraId="38704FFA">
      <w:pPr>
        <w:rPr>
          <w:rFonts w:ascii="宋体" w:hAnsi="宋体" w:cs="宋体"/>
          <w:color w:val="auto"/>
          <w:sz w:val="24"/>
          <w:szCs w:val="24"/>
        </w:rPr>
      </w:pPr>
    </w:p>
    <w:p w14:paraId="543CA477">
      <w:pPr>
        <w:widowControl/>
        <w:snapToGrid w:val="0"/>
        <w:spacing w:line="360" w:lineRule="auto"/>
        <w:ind w:right="-308"/>
        <w:jc w:val="center"/>
        <w:rPr>
          <w:rFonts w:ascii="黑体" w:hAnsi="宋体" w:eastAsia="黑体" w:cs="宋体"/>
          <w:b/>
          <w:bCs/>
          <w:color w:val="auto"/>
          <w:sz w:val="28"/>
          <w:szCs w:val="28"/>
        </w:rPr>
      </w:pPr>
      <w:r>
        <w:rPr>
          <w:rFonts w:hint="eastAsia" w:ascii="黑体" w:hAnsi="宋体" w:eastAsia="黑体" w:cs="宋体"/>
          <w:b/>
          <w:bCs/>
          <w:color w:val="auto"/>
          <w:sz w:val="28"/>
          <w:szCs w:val="28"/>
        </w:rPr>
        <w:t>本询价通知书的最终解释权归常州市城投建设工程招标有限公司所有</w:t>
      </w:r>
    </w:p>
    <w:p w14:paraId="0CE0677E">
      <w:pPr>
        <w:widowControl/>
        <w:snapToGrid w:val="0"/>
        <w:spacing w:line="360" w:lineRule="auto"/>
        <w:ind w:right="-308"/>
        <w:jc w:val="center"/>
        <w:rPr>
          <w:rFonts w:ascii="黑体" w:hAnsi="宋体" w:eastAsia="黑体" w:cs="宋体"/>
          <w:b/>
          <w:bCs/>
          <w:color w:val="auto"/>
          <w:sz w:val="28"/>
          <w:szCs w:val="28"/>
        </w:rPr>
      </w:pPr>
      <w:r>
        <w:rPr>
          <w:rFonts w:hint="eastAsia" w:ascii="黑体" w:hAnsi="宋体" w:eastAsia="黑体" w:cs="宋体"/>
          <w:b/>
          <w:bCs/>
          <w:color w:val="auto"/>
          <w:sz w:val="28"/>
          <w:szCs w:val="28"/>
        </w:rPr>
        <w:t>（全文完）</w:t>
      </w:r>
    </w:p>
    <w:sectPr>
      <w:pgSz w:w="11907" w:h="16839"/>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entury">
    <w:altName w:val="Times New Roman"/>
    <w:panose1 w:val="02040604050505020304"/>
    <w:charset w:val="00"/>
    <w:family w:val="roman"/>
    <w:pitch w:val="default"/>
    <w:sig w:usb0="00000000" w:usb1="00000000" w:usb2="00000000" w:usb3="00000000" w:csb0="000000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8471B">
    <w:pPr>
      <w:pStyle w:val="15"/>
      <w:ind w:right="360" w:firstLine="360"/>
      <w:jc w:val="center"/>
      <w:rPr>
        <w:rFonts w:ascii="仿宋_GB2312" w:hAnsi="宋体" w:eastAsia="仿宋_GB2312"/>
      </w:rPr>
    </w:pPr>
    <w:r>
      <w:rPr>
        <w:rFonts w:hint="eastAsia" w:ascii="仿宋_GB2312" w:hAnsi="宋体" w:eastAsia="仿宋_GB2312"/>
        <w:szCs w:val="21"/>
      </w:rPr>
      <w:t xml:space="preserve">第 </w:t>
    </w:r>
    <w:r>
      <w:rPr>
        <w:rFonts w:hint="eastAsia" w:ascii="仿宋_GB2312" w:hAnsi="宋体" w:eastAsia="仿宋_GB2312"/>
        <w:szCs w:val="21"/>
      </w:rPr>
      <w:fldChar w:fldCharType="begin"/>
    </w:r>
    <w:r>
      <w:rPr>
        <w:rFonts w:hint="eastAsia" w:ascii="仿宋_GB2312" w:hAnsi="宋体" w:eastAsia="仿宋_GB2312"/>
        <w:szCs w:val="21"/>
      </w:rPr>
      <w:instrText xml:space="preserve"> PAGE </w:instrText>
    </w:r>
    <w:r>
      <w:rPr>
        <w:rFonts w:hint="eastAsia" w:ascii="仿宋_GB2312" w:hAnsi="宋体" w:eastAsia="仿宋_GB2312"/>
        <w:szCs w:val="21"/>
      </w:rPr>
      <w:fldChar w:fldCharType="separate"/>
    </w:r>
    <w:r>
      <w:rPr>
        <w:rFonts w:ascii="仿宋_GB2312" w:hAnsi="宋体" w:eastAsia="仿宋_GB2312"/>
        <w:szCs w:val="21"/>
      </w:rPr>
      <w:t>17</w:t>
    </w:r>
    <w:r>
      <w:rPr>
        <w:rFonts w:hint="eastAsia" w:ascii="仿宋_GB2312" w:hAnsi="宋体" w:eastAsia="仿宋_GB2312"/>
        <w:szCs w:val="21"/>
      </w:rPr>
      <w:fldChar w:fldCharType="end"/>
    </w:r>
    <w:r>
      <w:rPr>
        <w:rFonts w:hint="eastAsia" w:ascii="仿宋_GB2312" w:hAnsi="宋体" w:eastAsia="仿宋_GB2312"/>
        <w:szCs w:val="21"/>
      </w:rPr>
      <w:t xml:space="preserve"> 页 共 </w:t>
    </w:r>
    <w:r>
      <w:rPr>
        <w:rFonts w:hint="eastAsia" w:ascii="仿宋_GB2312" w:hAnsi="宋体" w:eastAsia="仿宋_GB2312"/>
        <w:szCs w:val="21"/>
      </w:rPr>
      <w:fldChar w:fldCharType="begin"/>
    </w:r>
    <w:r>
      <w:rPr>
        <w:rFonts w:hint="eastAsia" w:ascii="仿宋_GB2312" w:hAnsi="宋体" w:eastAsia="仿宋_GB2312"/>
        <w:szCs w:val="21"/>
      </w:rPr>
      <w:instrText xml:space="preserve"> NUMPAGES </w:instrText>
    </w:r>
    <w:r>
      <w:rPr>
        <w:rFonts w:hint="eastAsia" w:ascii="仿宋_GB2312" w:hAnsi="宋体" w:eastAsia="仿宋_GB2312"/>
        <w:szCs w:val="21"/>
      </w:rPr>
      <w:fldChar w:fldCharType="separate"/>
    </w:r>
    <w:r>
      <w:rPr>
        <w:rFonts w:ascii="仿宋_GB2312" w:hAnsi="宋体" w:eastAsia="仿宋_GB2312"/>
        <w:szCs w:val="21"/>
      </w:rPr>
      <w:t>27</w:t>
    </w:r>
    <w:r>
      <w:rPr>
        <w:rFonts w:hint="eastAsia" w:ascii="仿宋_GB2312" w:hAnsi="宋体" w:eastAsia="仿宋_GB2312"/>
        <w:szCs w:val="21"/>
      </w:rPr>
      <w:fldChar w:fldCharType="end"/>
    </w:r>
    <w:r>
      <w:rPr>
        <w:rFonts w:hint="eastAsia" w:ascii="仿宋_GB2312" w:hAnsi="宋体" w:eastAsia="仿宋_GB2312"/>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0D524">
    <w:pPr>
      <w:pStyle w:val="15"/>
      <w:framePr w:wrap="around" w:vAnchor="text" w:hAnchor="margin" w:xAlign="outside" w:y="1"/>
      <w:rPr>
        <w:rStyle w:val="59"/>
      </w:rPr>
    </w:pPr>
    <w:r>
      <w:fldChar w:fldCharType="begin"/>
    </w:r>
    <w:r>
      <w:rPr>
        <w:rStyle w:val="59"/>
      </w:rPr>
      <w:instrText xml:space="preserve">PAGE  </w:instrText>
    </w:r>
    <w:r>
      <w:fldChar w:fldCharType="end"/>
    </w:r>
  </w:p>
  <w:p w14:paraId="51BB7BEE">
    <w:pPr>
      <w:pStyle w:val="1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AD037">
    <w:pPr>
      <w:pStyle w:val="16"/>
      <w:jc w:val="right"/>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401310" cy="5401310"/>
          <wp:effectExtent l="0" t="0" r="8890" b="8890"/>
          <wp:wrapNone/>
          <wp:docPr id="11" name="WordPictureWatermark6388136"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PictureWatermark6388136"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r>
      <w:rPr>
        <w:rFonts w:hint="eastAsia"/>
      </w:rPr>
      <w:t>常州市</w:t>
    </w:r>
    <w:r>
      <w:t>城投建设工程招标有限公司</w:t>
    </w:r>
    <w:r>
      <w:rPr>
        <w:rFonts w:hint="eastAsia"/>
      </w:rPr>
      <w:t>询价通知书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BE602">
    <w:pPr>
      <w:pStyle w:val="16"/>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401310" cy="5401310"/>
          <wp:effectExtent l="0" t="0" r="8890" b="8890"/>
          <wp:wrapNone/>
          <wp:docPr id="10"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PictureWatermark6388135"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FF6F8">
    <w:pPr>
      <w:pStyle w:val="16"/>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401310" cy="5401310"/>
          <wp:effectExtent l="0" t="0" r="8890" b="8890"/>
          <wp:wrapNone/>
          <wp:docPr id="9" name="WordPictureWatermark6388134"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6388134"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E937CE"/>
    <w:rsid w:val="0000020E"/>
    <w:rsid w:val="00014697"/>
    <w:rsid w:val="00015726"/>
    <w:rsid w:val="00015A25"/>
    <w:rsid w:val="00021A28"/>
    <w:rsid w:val="000322C7"/>
    <w:rsid w:val="00036ABA"/>
    <w:rsid w:val="000400AF"/>
    <w:rsid w:val="000419E2"/>
    <w:rsid w:val="00041CA7"/>
    <w:rsid w:val="00042FA4"/>
    <w:rsid w:val="00046E7B"/>
    <w:rsid w:val="000518B4"/>
    <w:rsid w:val="00052763"/>
    <w:rsid w:val="0005783A"/>
    <w:rsid w:val="0006059F"/>
    <w:rsid w:val="00067479"/>
    <w:rsid w:val="00074403"/>
    <w:rsid w:val="00075542"/>
    <w:rsid w:val="000773BD"/>
    <w:rsid w:val="000817FB"/>
    <w:rsid w:val="00082A56"/>
    <w:rsid w:val="00083D5E"/>
    <w:rsid w:val="0008635D"/>
    <w:rsid w:val="00091073"/>
    <w:rsid w:val="00094B97"/>
    <w:rsid w:val="000952EA"/>
    <w:rsid w:val="00096808"/>
    <w:rsid w:val="000A46C6"/>
    <w:rsid w:val="000A641F"/>
    <w:rsid w:val="000A7812"/>
    <w:rsid w:val="000B0984"/>
    <w:rsid w:val="000B3498"/>
    <w:rsid w:val="000C32B2"/>
    <w:rsid w:val="000C42E4"/>
    <w:rsid w:val="000C5105"/>
    <w:rsid w:val="000C7FBE"/>
    <w:rsid w:val="000D1155"/>
    <w:rsid w:val="000D2205"/>
    <w:rsid w:val="000D25CF"/>
    <w:rsid w:val="000D27B8"/>
    <w:rsid w:val="000D3930"/>
    <w:rsid w:val="000D46DC"/>
    <w:rsid w:val="000D6F17"/>
    <w:rsid w:val="000D7DF9"/>
    <w:rsid w:val="000E648F"/>
    <w:rsid w:val="000F241A"/>
    <w:rsid w:val="000F75F5"/>
    <w:rsid w:val="001260CA"/>
    <w:rsid w:val="0013336B"/>
    <w:rsid w:val="0014201D"/>
    <w:rsid w:val="001613AA"/>
    <w:rsid w:val="001618E0"/>
    <w:rsid w:val="00162510"/>
    <w:rsid w:val="0016565C"/>
    <w:rsid w:val="00165C9C"/>
    <w:rsid w:val="00166978"/>
    <w:rsid w:val="001673E7"/>
    <w:rsid w:val="00167974"/>
    <w:rsid w:val="00167E08"/>
    <w:rsid w:val="00171A88"/>
    <w:rsid w:val="00172903"/>
    <w:rsid w:val="001741AE"/>
    <w:rsid w:val="0017525A"/>
    <w:rsid w:val="001768A7"/>
    <w:rsid w:val="001818C1"/>
    <w:rsid w:val="00181D21"/>
    <w:rsid w:val="00184DD0"/>
    <w:rsid w:val="00193AB1"/>
    <w:rsid w:val="001A79B9"/>
    <w:rsid w:val="001B19F7"/>
    <w:rsid w:val="001B3BCD"/>
    <w:rsid w:val="001B45DE"/>
    <w:rsid w:val="001B777A"/>
    <w:rsid w:val="001C13D0"/>
    <w:rsid w:val="001C3A68"/>
    <w:rsid w:val="001C5925"/>
    <w:rsid w:val="001C764D"/>
    <w:rsid w:val="001D4303"/>
    <w:rsid w:val="001D56BC"/>
    <w:rsid w:val="001D7A92"/>
    <w:rsid w:val="001E0507"/>
    <w:rsid w:val="001E0CB9"/>
    <w:rsid w:val="001E0EEA"/>
    <w:rsid w:val="001F2762"/>
    <w:rsid w:val="001F3D80"/>
    <w:rsid w:val="00202527"/>
    <w:rsid w:val="00204044"/>
    <w:rsid w:val="0020430E"/>
    <w:rsid w:val="00206501"/>
    <w:rsid w:val="00207310"/>
    <w:rsid w:val="00214A06"/>
    <w:rsid w:val="002167F7"/>
    <w:rsid w:val="00224761"/>
    <w:rsid w:val="00224C20"/>
    <w:rsid w:val="00227AF2"/>
    <w:rsid w:val="00231317"/>
    <w:rsid w:val="0023309A"/>
    <w:rsid w:val="0024132F"/>
    <w:rsid w:val="00244306"/>
    <w:rsid w:val="002473E2"/>
    <w:rsid w:val="00254B97"/>
    <w:rsid w:val="002649E6"/>
    <w:rsid w:val="00266CFA"/>
    <w:rsid w:val="002722D7"/>
    <w:rsid w:val="0028101A"/>
    <w:rsid w:val="0028762C"/>
    <w:rsid w:val="00291CF2"/>
    <w:rsid w:val="002A22F9"/>
    <w:rsid w:val="002A6B32"/>
    <w:rsid w:val="002B0952"/>
    <w:rsid w:val="002B5046"/>
    <w:rsid w:val="002B63EC"/>
    <w:rsid w:val="002C3F8C"/>
    <w:rsid w:val="002C484D"/>
    <w:rsid w:val="002C691D"/>
    <w:rsid w:val="002D1E5D"/>
    <w:rsid w:val="002E55E5"/>
    <w:rsid w:val="002E5FC2"/>
    <w:rsid w:val="002F7FC8"/>
    <w:rsid w:val="00312764"/>
    <w:rsid w:val="00317BA9"/>
    <w:rsid w:val="003221C2"/>
    <w:rsid w:val="00322A6D"/>
    <w:rsid w:val="00324022"/>
    <w:rsid w:val="00334015"/>
    <w:rsid w:val="00335D65"/>
    <w:rsid w:val="00337963"/>
    <w:rsid w:val="00341E0E"/>
    <w:rsid w:val="00345DA0"/>
    <w:rsid w:val="00347E49"/>
    <w:rsid w:val="003513FF"/>
    <w:rsid w:val="0039228B"/>
    <w:rsid w:val="003929DA"/>
    <w:rsid w:val="003943D6"/>
    <w:rsid w:val="003A745D"/>
    <w:rsid w:val="003B0DFB"/>
    <w:rsid w:val="003B18FB"/>
    <w:rsid w:val="003B4E0D"/>
    <w:rsid w:val="003B6B85"/>
    <w:rsid w:val="003D1F05"/>
    <w:rsid w:val="0040022F"/>
    <w:rsid w:val="00400C99"/>
    <w:rsid w:val="004037B8"/>
    <w:rsid w:val="0040561B"/>
    <w:rsid w:val="0041101E"/>
    <w:rsid w:val="00412BDF"/>
    <w:rsid w:val="0041398C"/>
    <w:rsid w:val="00415602"/>
    <w:rsid w:val="004158E4"/>
    <w:rsid w:val="0042044F"/>
    <w:rsid w:val="00424FD7"/>
    <w:rsid w:val="00426DE7"/>
    <w:rsid w:val="00427FA8"/>
    <w:rsid w:val="00433AB6"/>
    <w:rsid w:val="00435BD9"/>
    <w:rsid w:val="00437697"/>
    <w:rsid w:val="00440236"/>
    <w:rsid w:val="00440DDB"/>
    <w:rsid w:val="00440FA5"/>
    <w:rsid w:val="0044448A"/>
    <w:rsid w:val="00444BFD"/>
    <w:rsid w:val="00451792"/>
    <w:rsid w:val="00451ECF"/>
    <w:rsid w:val="004520B1"/>
    <w:rsid w:val="00460611"/>
    <w:rsid w:val="00465E08"/>
    <w:rsid w:val="0047598B"/>
    <w:rsid w:val="00480E53"/>
    <w:rsid w:val="004818D0"/>
    <w:rsid w:val="00490E88"/>
    <w:rsid w:val="004A481D"/>
    <w:rsid w:val="004A58E4"/>
    <w:rsid w:val="004A5FEF"/>
    <w:rsid w:val="004A7C9A"/>
    <w:rsid w:val="004B0B0D"/>
    <w:rsid w:val="004B44A4"/>
    <w:rsid w:val="004B4F00"/>
    <w:rsid w:val="004B756D"/>
    <w:rsid w:val="004C4E32"/>
    <w:rsid w:val="004C5F5E"/>
    <w:rsid w:val="004D475D"/>
    <w:rsid w:val="004E4B0D"/>
    <w:rsid w:val="004F006A"/>
    <w:rsid w:val="004F00D9"/>
    <w:rsid w:val="004F27A1"/>
    <w:rsid w:val="004F4654"/>
    <w:rsid w:val="004F544B"/>
    <w:rsid w:val="00501458"/>
    <w:rsid w:val="005035DB"/>
    <w:rsid w:val="00531C40"/>
    <w:rsid w:val="005340D4"/>
    <w:rsid w:val="0054138F"/>
    <w:rsid w:val="0054726A"/>
    <w:rsid w:val="0055296D"/>
    <w:rsid w:val="005541D4"/>
    <w:rsid w:val="00562755"/>
    <w:rsid w:val="005678DF"/>
    <w:rsid w:val="00571CB0"/>
    <w:rsid w:val="00572319"/>
    <w:rsid w:val="00575D0F"/>
    <w:rsid w:val="0057623B"/>
    <w:rsid w:val="0057795C"/>
    <w:rsid w:val="00577EAB"/>
    <w:rsid w:val="00581297"/>
    <w:rsid w:val="005839BB"/>
    <w:rsid w:val="005848CA"/>
    <w:rsid w:val="005866EE"/>
    <w:rsid w:val="00587860"/>
    <w:rsid w:val="005879D9"/>
    <w:rsid w:val="005915E8"/>
    <w:rsid w:val="0059382A"/>
    <w:rsid w:val="00593FC3"/>
    <w:rsid w:val="005954A9"/>
    <w:rsid w:val="005A4DE4"/>
    <w:rsid w:val="005A5B31"/>
    <w:rsid w:val="005A62FA"/>
    <w:rsid w:val="005B1EC0"/>
    <w:rsid w:val="005B6228"/>
    <w:rsid w:val="005C2B8C"/>
    <w:rsid w:val="005C4B2D"/>
    <w:rsid w:val="005D2567"/>
    <w:rsid w:val="005D37D0"/>
    <w:rsid w:val="005D3CDE"/>
    <w:rsid w:val="005D4EDB"/>
    <w:rsid w:val="005D724B"/>
    <w:rsid w:val="005E516B"/>
    <w:rsid w:val="005E5E35"/>
    <w:rsid w:val="005F0E8F"/>
    <w:rsid w:val="005F6BB0"/>
    <w:rsid w:val="0060158F"/>
    <w:rsid w:val="00605DCC"/>
    <w:rsid w:val="006074CE"/>
    <w:rsid w:val="0061680A"/>
    <w:rsid w:val="006228D2"/>
    <w:rsid w:val="006238D6"/>
    <w:rsid w:val="0062410F"/>
    <w:rsid w:val="00626566"/>
    <w:rsid w:val="00630733"/>
    <w:rsid w:val="006338D3"/>
    <w:rsid w:val="00643426"/>
    <w:rsid w:val="00651A01"/>
    <w:rsid w:val="00654932"/>
    <w:rsid w:val="00662F1B"/>
    <w:rsid w:val="00662F86"/>
    <w:rsid w:val="00664EC1"/>
    <w:rsid w:val="00666689"/>
    <w:rsid w:val="006763C4"/>
    <w:rsid w:val="00677300"/>
    <w:rsid w:val="00682E83"/>
    <w:rsid w:val="0069184F"/>
    <w:rsid w:val="00692769"/>
    <w:rsid w:val="006B19D6"/>
    <w:rsid w:val="006B3C52"/>
    <w:rsid w:val="006B4AE3"/>
    <w:rsid w:val="006B70BC"/>
    <w:rsid w:val="006C306D"/>
    <w:rsid w:val="006C497B"/>
    <w:rsid w:val="006C4B8B"/>
    <w:rsid w:val="006C5A62"/>
    <w:rsid w:val="006C7153"/>
    <w:rsid w:val="006D4570"/>
    <w:rsid w:val="006D65E4"/>
    <w:rsid w:val="006E612B"/>
    <w:rsid w:val="006E7446"/>
    <w:rsid w:val="006F00A7"/>
    <w:rsid w:val="006F342E"/>
    <w:rsid w:val="006F3ECF"/>
    <w:rsid w:val="006F5A14"/>
    <w:rsid w:val="00703916"/>
    <w:rsid w:val="00704CFF"/>
    <w:rsid w:val="007069D3"/>
    <w:rsid w:val="007079B2"/>
    <w:rsid w:val="007100E8"/>
    <w:rsid w:val="0071123F"/>
    <w:rsid w:val="00713654"/>
    <w:rsid w:val="0072015B"/>
    <w:rsid w:val="0072290A"/>
    <w:rsid w:val="00731B9B"/>
    <w:rsid w:val="00734418"/>
    <w:rsid w:val="0073477E"/>
    <w:rsid w:val="007348B4"/>
    <w:rsid w:val="00741234"/>
    <w:rsid w:val="007469C3"/>
    <w:rsid w:val="007575BA"/>
    <w:rsid w:val="007602FF"/>
    <w:rsid w:val="00762006"/>
    <w:rsid w:val="007626A0"/>
    <w:rsid w:val="00765EC9"/>
    <w:rsid w:val="00770320"/>
    <w:rsid w:val="007719AC"/>
    <w:rsid w:val="00771A8C"/>
    <w:rsid w:val="00773B4C"/>
    <w:rsid w:val="007755F1"/>
    <w:rsid w:val="00776049"/>
    <w:rsid w:val="007765C1"/>
    <w:rsid w:val="00783E15"/>
    <w:rsid w:val="0078442E"/>
    <w:rsid w:val="007860B7"/>
    <w:rsid w:val="00790294"/>
    <w:rsid w:val="00790E64"/>
    <w:rsid w:val="007912D8"/>
    <w:rsid w:val="0079178C"/>
    <w:rsid w:val="0079462D"/>
    <w:rsid w:val="007955D0"/>
    <w:rsid w:val="007A0909"/>
    <w:rsid w:val="007A2C2F"/>
    <w:rsid w:val="007A34BD"/>
    <w:rsid w:val="007A6DDA"/>
    <w:rsid w:val="007B4F3B"/>
    <w:rsid w:val="007B59D1"/>
    <w:rsid w:val="007C20D6"/>
    <w:rsid w:val="007C5AF7"/>
    <w:rsid w:val="007C6A33"/>
    <w:rsid w:val="007D19BC"/>
    <w:rsid w:val="007D3503"/>
    <w:rsid w:val="007D5917"/>
    <w:rsid w:val="007E0F98"/>
    <w:rsid w:val="007E73CA"/>
    <w:rsid w:val="007F3FAB"/>
    <w:rsid w:val="00800E35"/>
    <w:rsid w:val="00806EC0"/>
    <w:rsid w:val="00815DF9"/>
    <w:rsid w:val="008177C8"/>
    <w:rsid w:val="0082199C"/>
    <w:rsid w:val="008335B2"/>
    <w:rsid w:val="008364DB"/>
    <w:rsid w:val="00837DC4"/>
    <w:rsid w:val="00842EFC"/>
    <w:rsid w:val="008459D0"/>
    <w:rsid w:val="00851E04"/>
    <w:rsid w:val="00853BCA"/>
    <w:rsid w:val="00853FCA"/>
    <w:rsid w:val="008605C4"/>
    <w:rsid w:val="00870FC6"/>
    <w:rsid w:val="00882A19"/>
    <w:rsid w:val="00882C01"/>
    <w:rsid w:val="00887DBA"/>
    <w:rsid w:val="00892B56"/>
    <w:rsid w:val="008A487B"/>
    <w:rsid w:val="008B2D42"/>
    <w:rsid w:val="008B49E6"/>
    <w:rsid w:val="008C0B52"/>
    <w:rsid w:val="008C1A68"/>
    <w:rsid w:val="008C1FFB"/>
    <w:rsid w:val="008C5C2E"/>
    <w:rsid w:val="008D20AF"/>
    <w:rsid w:val="008D50A4"/>
    <w:rsid w:val="008E0207"/>
    <w:rsid w:val="008E4EBC"/>
    <w:rsid w:val="008E5B34"/>
    <w:rsid w:val="008F1B90"/>
    <w:rsid w:val="008F29B3"/>
    <w:rsid w:val="008F3899"/>
    <w:rsid w:val="008F7A7B"/>
    <w:rsid w:val="00904884"/>
    <w:rsid w:val="009060AB"/>
    <w:rsid w:val="00915016"/>
    <w:rsid w:val="00917819"/>
    <w:rsid w:val="00921C13"/>
    <w:rsid w:val="009233B6"/>
    <w:rsid w:val="00924B7C"/>
    <w:rsid w:val="009275A0"/>
    <w:rsid w:val="0093070E"/>
    <w:rsid w:val="00930DCC"/>
    <w:rsid w:val="00934CB5"/>
    <w:rsid w:val="00943B14"/>
    <w:rsid w:val="00952239"/>
    <w:rsid w:val="00954444"/>
    <w:rsid w:val="009602D5"/>
    <w:rsid w:val="0097387C"/>
    <w:rsid w:val="00974006"/>
    <w:rsid w:val="009847A3"/>
    <w:rsid w:val="009917D9"/>
    <w:rsid w:val="009960A6"/>
    <w:rsid w:val="009A15E2"/>
    <w:rsid w:val="009A1A5F"/>
    <w:rsid w:val="009A45CF"/>
    <w:rsid w:val="009B1E2B"/>
    <w:rsid w:val="009B5460"/>
    <w:rsid w:val="009B7AC1"/>
    <w:rsid w:val="009C04FF"/>
    <w:rsid w:val="009D247D"/>
    <w:rsid w:val="009D7C28"/>
    <w:rsid w:val="009E32E4"/>
    <w:rsid w:val="009E36A7"/>
    <w:rsid w:val="009E4E80"/>
    <w:rsid w:val="009F501D"/>
    <w:rsid w:val="00A01739"/>
    <w:rsid w:val="00A051E1"/>
    <w:rsid w:val="00A054A4"/>
    <w:rsid w:val="00A1398D"/>
    <w:rsid w:val="00A13BE0"/>
    <w:rsid w:val="00A177EA"/>
    <w:rsid w:val="00A27DD8"/>
    <w:rsid w:val="00A32A85"/>
    <w:rsid w:val="00A3325A"/>
    <w:rsid w:val="00A34CB5"/>
    <w:rsid w:val="00A371CF"/>
    <w:rsid w:val="00A4015B"/>
    <w:rsid w:val="00A46065"/>
    <w:rsid w:val="00A477E5"/>
    <w:rsid w:val="00A47923"/>
    <w:rsid w:val="00A50918"/>
    <w:rsid w:val="00A51AED"/>
    <w:rsid w:val="00A60A45"/>
    <w:rsid w:val="00A61053"/>
    <w:rsid w:val="00A61C0E"/>
    <w:rsid w:val="00A71AE2"/>
    <w:rsid w:val="00A82063"/>
    <w:rsid w:val="00A862AF"/>
    <w:rsid w:val="00A87443"/>
    <w:rsid w:val="00A90CA0"/>
    <w:rsid w:val="00A973C7"/>
    <w:rsid w:val="00A979F5"/>
    <w:rsid w:val="00AA048E"/>
    <w:rsid w:val="00AA088B"/>
    <w:rsid w:val="00AA3097"/>
    <w:rsid w:val="00AA42D2"/>
    <w:rsid w:val="00AA6993"/>
    <w:rsid w:val="00AB4A29"/>
    <w:rsid w:val="00AC461D"/>
    <w:rsid w:val="00AC4E0E"/>
    <w:rsid w:val="00AC6E63"/>
    <w:rsid w:val="00AD03A2"/>
    <w:rsid w:val="00AD4C39"/>
    <w:rsid w:val="00AD78AF"/>
    <w:rsid w:val="00AE33A9"/>
    <w:rsid w:val="00AE68FB"/>
    <w:rsid w:val="00AE74D3"/>
    <w:rsid w:val="00AF2C0A"/>
    <w:rsid w:val="00AF3988"/>
    <w:rsid w:val="00AF3F63"/>
    <w:rsid w:val="00AF5202"/>
    <w:rsid w:val="00AF6552"/>
    <w:rsid w:val="00AF6F60"/>
    <w:rsid w:val="00B107F9"/>
    <w:rsid w:val="00B10E77"/>
    <w:rsid w:val="00B123C7"/>
    <w:rsid w:val="00B13E27"/>
    <w:rsid w:val="00B144D2"/>
    <w:rsid w:val="00B16CBB"/>
    <w:rsid w:val="00B2233D"/>
    <w:rsid w:val="00B26522"/>
    <w:rsid w:val="00B268EA"/>
    <w:rsid w:val="00B30D45"/>
    <w:rsid w:val="00B33CAB"/>
    <w:rsid w:val="00B34C70"/>
    <w:rsid w:val="00B3570D"/>
    <w:rsid w:val="00B35EFF"/>
    <w:rsid w:val="00B41993"/>
    <w:rsid w:val="00B46564"/>
    <w:rsid w:val="00B50FA0"/>
    <w:rsid w:val="00B5677F"/>
    <w:rsid w:val="00B601B1"/>
    <w:rsid w:val="00B63A6E"/>
    <w:rsid w:val="00B65FAD"/>
    <w:rsid w:val="00B702DE"/>
    <w:rsid w:val="00B70467"/>
    <w:rsid w:val="00B71B78"/>
    <w:rsid w:val="00B72EB1"/>
    <w:rsid w:val="00B743B4"/>
    <w:rsid w:val="00B7498A"/>
    <w:rsid w:val="00B82131"/>
    <w:rsid w:val="00B84568"/>
    <w:rsid w:val="00B84D9D"/>
    <w:rsid w:val="00B96AF0"/>
    <w:rsid w:val="00BA404F"/>
    <w:rsid w:val="00BB010D"/>
    <w:rsid w:val="00BB3387"/>
    <w:rsid w:val="00BB69D4"/>
    <w:rsid w:val="00BB7899"/>
    <w:rsid w:val="00BC2F12"/>
    <w:rsid w:val="00BC2FAB"/>
    <w:rsid w:val="00BC609B"/>
    <w:rsid w:val="00BD2D1C"/>
    <w:rsid w:val="00BD772B"/>
    <w:rsid w:val="00BE1EEA"/>
    <w:rsid w:val="00BE2EE8"/>
    <w:rsid w:val="00BE6070"/>
    <w:rsid w:val="00BF29FD"/>
    <w:rsid w:val="00BF2E7F"/>
    <w:rsid w:val="00BF3997"/>
    <w:rsid w:val="00C07EE9"/>
    <w:rsid w:val="00C10145"/>
    <w:rsid w:val="00C10DC3"/>
    <w:rsid w:val="00C151C2"/>
    <w:rsid w:val="00C16F5B"/>
    <w:rsid w:val="00C179AF"/>
    <w:rsid w:val="00C208FC"/>
    <w:rsid w:val="00C2435B"/>
    <w:rsid w:val="00C26E5B"/>
    <w:rsid w:val="00C30069"/>
    <w:rsid w:val="00C3105D"/>
    <w:rsid w:val="00C31576"/>
    <w:rsid w:val="00C31D2F"/>
    <w:rsid w:val="00C40DA3"/>
    <w:rsid w:val="00C42121"/>
    <w:rsid w:val="00C42B9C"/>
    <w:rsid w:val="00C448C8"/>
    <w:rsid w:val="00C528EB"/>
    <w:rsid w:val="00C6050B"/>
    <w:rsid w:val="00C609D5"/>
    <w:rsid w:val="00C62196"/>
    <w:rsid w:val="00C63EB2"/>
    <w:rsid w:val="00C6568B"/>
    <w:rsid w:val="00C6597B"/>
    <w:rsid w:val="00C67AE3"/>
    <w:rsid w:val="00C7296A"/>
    <w:rsid w:val="00C74191"/>
    <w:rsid w:val="00C748E6"/>
    <w:rsid w:val="00C75A82"/>
    <w:rsid w:val="00C772FE"/>
    <w:rsid w:val="00C83DDA"/>
    <w:rsid w:val="00C87F49"/>
    <w:rsid w:val="00C9009E"/>
    <w:rsid w:val="00C957F6"/>
    <w:rsid w:val="00CA2B00"/>
    <w:rsid w:val="00CA2EF7"/>
    <w:rsid w:val="00CB09C0"/>
    <w:rsid w:val="00CB2444"/>
    <w:rsid w:val="00CB75C0"/>
    <w:rsid w:val="00CB7623"/>
    <w:rsid w:val="00CC5DB3"/>
    <w:rsid w:val="00CC786F"/>
    <w:rsid w:val="00CD0EF7"/>
    <w:rsid w:val="00CD368E"/>
    <w:rsid w:val="00CD4227"/>
    <w:rsid w:val="00CE2ACF"/>
    <w:rsid w:val="00CE66CB"/>
    <w:rsid w:val="00CF07F3"/>
    <w:rsid w:val="00CF152A"/>
    <w:rsid w:val="00CF2016"/>
    <w:rsid w:val="00CF24E9"/>
    <w:rsid w:val="00D00172"/>
    <w:rsid w:val="00D04175"/>
    <w:rsid w:val="00D06165"/>
    <w:rsid w:val="00D11C4B"/>
    <w:rsid w:val="00D1202C"/>
    <w:rsid w:val="00D14229"/>
    <w:rsid w:val="00D17FBB"/>
    <w:rsid w:val="00D223F3"/>
    <w:rsid w:val="00D22570"/>
    <w:rsid w:val="00D22867"/>
    <w:rsid w:val="00D271E5"/>
    <w:rsid w:val="00D30F41"/>
    <w:rsid w:val="00D34464"/>
    <w:rsid w:val="00D37EC7"/>
    <w:rsid w:val="00D426E3"/>
    <w:rsid w:val="00D465BB"/>
    <w:rsid w:val="00D55837"/>
    <w:rsid w:val="00D640FC"/>
    <w:rsid w:val="00D73F8E"/>
    <w:rsid w:val="00D758EC"/>
    <w:rsid w:val="00D76ADB"/>
    <w:rsid w:val="00D76E8A"/>
    <w:rsid w:val="00D9135B"/>
    <w:rsid w:val="00D91E0F"/>
    <w:rsid w:val="00D92601"/>
    <w:rsid w:val="00D944A9"/>
    <w:rsid w:val="00DA01D5"/>
    <w:rsid w:val="00DA4BB2"/>
    <w:rsid w:val="00DA5D19"/>
    <w:rsid w:val="00DA6612"/>
    <w:rsid w:val="00DA69EE"/>
    <w:rsid w:val="00DA6C70"/>
    <w:rsid w:val="00DB1CAD"/>
    <w:rsid w:val="00DB25AC"/>
    <w:rsid w:val="00DC17C1"/>
    <w:rsid w:val="00DC25EA"/>
    <w:rsid w:val="00DC6D1F"/>
    <w:rsid w:val="00DC6D5E"/>
    <w:rsid w:val="00DD1129"/>
    <w:rsid w:val="00DD3DF3"/>
    <w:rsid w:val="00DD4DAB"/>
    <w:rsid w:val="00DE0A05"/>
    <w:rsid w:val="00DE2416"/>
    <w:rsid w:val="00DE31FB"/>
    <w:rsid w:val="00DE77B2"/>
    <w:rsid w:val="00DF0A2C"/>
    <w:rsid w:val="00DF7395"/>
    <w:rsid w:val="00DF7920"/>
    <w:rsid w:val="00E02380"/>
    <w:rsid w:val="00E04820"/>
    <w:rsid w:val="00E148A1"/>
    <w:rsid w:val="00E2153B"/>
    <w:rsid w:val="00E22FF5"/>
    <w:rsid w:val="00E3083D"/>
    <w:rsid w:val="00E33168"/>
    <w:rsid w:val="00E3545A"/>
    <w:rsid w:val="00E36D8F"/>
    <w:rsid w:val="00E37BB9"/>
    <w:rsid w:val="00E41B85"/>
    <w:rsid w:val="00E45D9D"/>
    <w:rsid w:val="00E5341B"/>
    <w:rsid w:val="00E53E8D"/>
    <w:rsid w:val="00E54832"/>
    <w:rsid w:val="00E56C1C"/>
    <w:rsid w:val="00E5716A"/>
    <w:rsid w:val="00E61D1B"/>
    <w:rsid w:val="00E62564"/>
    <w:rsid w:val="00E630C8"/>
    <w:rsid w:val="00E656B8"/>
    <w:rsid w:val="00E70E95"/>
    <w:rsid w:val="00E73081"/>
    <w:rsid w:val="00E91D2B"/>
    <w:rsid w:val="00E937CE"/>
    <w:rsid w:val="00E942BC"/>
    <w:rsid w:val="00E94EEF"/>
    <w:rsid w:val="00E973C1"/>
    <w:rsid w:val="00E97978"/>
    <w:rsid w:val="00EA6CE8"/>
    <w:rsid w:val="00EB34D8"/>
    <w:rsid w:val="00EB3EB4"/>
    <w:rsid w:val="00EB6BF3"/>
    <w:rsid w:val="00EC5DCD"/>
    <w:rsid w:val="00EC77DA"/>
    <w:rsid w:val="00EE1236"/>
    <w:rsid w:val="00EE2A8E"/>
    <w:rsid w:val="00EF2DD4"/>
    <w:rsid w:val="00F00022"/>
    <w:rsid w:val="00F0073B"/>
    <w:rsid w:val="00F00CEA"/>
    <w:rsid w:val="00F03680"/>
    <w:rsid w:val="00F03FFA"/>
    <w:rsid w:val="00F11F22"/>
    <w:rsid w:val="00F14787"/>
    <w:rsid w:val="00F16D31"/>
    <w:rsid w:val="00F2163E"/>
    <w:rsid w:val="00F221EC"/>
    <w:rsid w:val="00F23CE0"/>
    <w:rsid w:val="00F33B28"/>
    <w:rsid w:val="00F35D01"/>
    <w:rsid w:val="00F371B5"/>
    <w:rsid w:val="00F411A2"/>
    <w:rsid w:val="00F41475"/>
    <w:rsid w:val="00F41619"/>
    <w:rsid w:val="00F41705"/>
    <w:rsid w:val="00F46C6F"/>
    <w:rsid w:val="00F519A8"/>
    <w:rsid w:val="00F52542"/>
    <w:rsid w:val="00F61B51"/>
    <w:rsid w:val="00F73EC9"/>
    <w:rsid w:val="00F8196F"/>
    <w:rsid w:val="00F95C2E"/>
    <w:rsid w:val="00F970D1"/>
    <w:rsid w:val="00FA0139"/>
    <w:rsid w:val="00FA3899"/>
    <w:rsid w:val="00FA4A17"/>
    <w:rsid w:val="00FA58C9"/>
    <w:rsid w:val="00FA604B"/>
    <w:rsid w:val="00FA72FA"/>
    <w:rsid w:val="00FA774D"/>
    <w:rsid w:val="00FB337D"/>
    <w:rsid w:val="00FC4579"/>
    <w:rsid w:val="00FC762E"/>
    <w:rsid w:val="00FD34D5"/>
    <w:rsid w:val="00FD3CDA"/>
    <w:rsid w:val="00FE2F26"/>
    <w:rsid w:val="00FE3BEB"/>
    <w:rsid w:val="00FE3C18"/>
    <w:rsid w:val="00FE5D7F"/>
    <w:rsid w:val="00FF1023"/>
    <w:rsid w:val="00FF103B"/>
    <w:rsid w:val="00FF2BFA"/>
    <w:rsid w:val="00FF3864"/>
    <w:rsid w:val="00FF4956"/>
    <w:rsid w:val="00FF5702"/>
    <w:rsid w:val="011B0745"/>
    <w:rsid w:val="014B7F71"/>
    <w:rsid w:val="01BD35AB"/>
    <w:rsid w:val="01CC0ECA"/>
    <w:rsid w:val="027125E7"/>
    <w:rsid w:val="02B60C1F"/>
    <w:rsid w:val="03B64756"/>
    <w:rsid w:val="04F15767"/>
    <w:rsid w:val="04F419D9"/>
    <w:rsid w:val="05FB57F0"/>
    <w:rsid w:val="06F105E8"/>
    <w:rsid w:val="072E4C17"/>
    <w:rsid w:val="085270A8"/>
    <w:rsid w:val="0A4B497B"/>
    <w:rsid w:val="0A9942BD"/>
    <w:rsid w:val="0B00187B"/>
    <w:rsid w:val="0B293767"/>
    <w:rsid w:val="0B597A11"/>
    <w:rsid w:val="0B5C1EEC"/>
    <w:rsid w:val="0B8D2B18"/>
    <w:rsid w:val="0D140AB5"/>
    <w:rsid w:val="0D817B82"/>
    <w:rsid w:val="0DD90E5C"/>
    <w:rsid w:val="0E67321C"/>
    <w:rsid w:val="0F1961FF"/>
    <w:rsid w:val="0F1A47AC"/>
    <w:rsid w:val="0FCD5301"/>
    <w:rsid w:val="0FDD50D6"/>
    <w:rsid w:val="10074400"/>
    <w:rsid w:val="110875A2"/>
    <w:rsid w:val="11E923CA"/>
    <w:rsid w:val="12475DBF"/>
    <w:rsid w:val="12810624"/>
    <w:rsid w:val="129760EE"/>
    <w:rsid w:val="13157EF2"/>
    <w:rsid w:val="131C5060"/>
    <w:rsid w:val="142D4720"/>
    <w:rsid w:val="14353475"/>
    <w:rsid w:val="15363948"/>
    <w:rsid w:val="158F7260"/>
    <w:rsid w:val="164F25E9"/>
    <w:rsid w:val="16DA045E"/>
    <w:rsid w:val="172422A9"/>
    <w:rsid w:val="18F51424"/>
    <w:rsid w:val="192A76F0"/>
    <w:rsid w:val="1C6C3EBF"/>
    <w:rsid w:val="1CB65E0D"/>
    <w:rsid w:val="1CBF4223"/>
    <w:rsid w:val="1CCC0579"/>
    <w:rsid w:val="1DD81476"/>
    <w:rsid w:val="1E0F4D36"/>
    <w:rsid w:val="1F5275D0"/>
    <w:rsid w:val="1F961BB7"/>
    <w:rsid w:val="212E1977"/>
    <w:rsid w:val="22000AED"/>
    <w:rsid w:val="22745AB0"/>
    <w:rsid w:val="23422376"/>
    <w:rsid w:val="25203CCD"/>
    <w:rsid w:val="25580578"/>
    <w:rsid w:val="255C6D0E"/>
    <w:rsid w:val="265C2AE3"/>
    <w:rsid w:val="27174F7C"/>
    <w:rsid w:val="27A6670B"/>
    <w:rsid w:val="27E533D0"/>
    <w:rsid w:val="287C56BE"/>
    <w:rsid w:val="28CB75D1"/>
    <w:rsid w:val="295C6E2D"/>
    <w:rsid w:val="2C8514E3"/>
    <w:rsid w:val="2CFF066C"/>
    <w:rsid w:val="2DEE2DD7"/>
    <w:rsid w:val="30D836AE"/>
    <w:rsid w:val="31884EE7"/>
    <w:rsid w:val="32CB5D08"/>
    <w:rsid w:val="3304078A"/>
    <w:rsid w:val="35347698"/>
    <w:rsid w:val="35450E59"/>
    <w:rsid w:val="3578536D"/>
    <w:rsid w:val="35C443F0"/>
    <w:rsid w:val="35F76E1E"/>
    <w:rsid w:val="37751C56"/>
    <w:rsid w:val="382F62A9"/>
    <w:rsid w:val="393E7C57"/>
    <w:rsid w:val="3969127A"/>
    <w:rsid w:val="39DC420F"/>
    <w:rsid w:val="3A7D08EB"/>
    <w:rsid w:val="3B45740C"/>
    <w:rsid w:val="3C6C2DE1"/>
    <w:rsid w:val="3C983514"/>
    <w:rsid w:val="3ECF5E37"/>
    <w:rsid w:val="3F49270E"/>
    <w:rsid w:val="3FA57E6B"/>
    <w:rsid w:val="404F2310"/>
    <w:rsid w:val="40696FCE"/>
    <w:rsid w:val="422739D3"/>
    <w:rsid w:val="422B3AB1"/>
    <w:rsid w:val="42DF0A26"/>
    <w:rsid w:val="433429C6"/>
    <w:rsid w:val="456B6447"/>
    <w:rsid w:val="45861BB8"/>
    <w:rsid w:val="461D5993"/>
    <w:rsid w:val="464652D5"/>
    <w:rsid w:val="46647A66"/>
    <w:rsid w:val="46821999"/>
    <w:rsid w:val="46887D07"/>
    <w:rsid w:val="469D2F78"/>
    <w:rsid w:val="47A60FCD"/>
    <w:rsid w:val="4AFA2747"/>
    <w:rsid w:val="4BB548C0"/>
    <w:rsid w:val="4BC14C0A"/>
    <w:rsid w:val="4BC845F3"/>
    <w:rsid w:val="4E456014"/>
    <w:rsid w:val="4E577EB0"/>
    <w:rsid w:val="512C73D2"/>
    <w:rsid w:val="517D13CC"/>
    <w:rsid w:val="51B8012E"/>
    <w:rsid w:val="51DA5080"/>
    <w:rsid w:val="523E73BD"/>
    <w:rsid w:val="52992845"/>
    <w:rsid w:val="534A7FE3"/>
    <w:rsid w:val="534C3696"/>
    <w:rsid w:val="55285702"/>
    <w:rsid w:val="55BA5191"/>
    <w:rsid w:val="561E348E"/>
    <w:rsid w:val="56521689"/>
    <w:rsid w:val="566C6184"/>
    <w:rsid w:val="58382B00"/>
    <w:rsid w:val="59AD3D34"/>
    <w:rsid w:val="5AC11938"/>
    <w:rsid w:val="5B13515F"/>
    <w:rsid w:val="5B4D6525"/>
    <w:rsid w:val="5BC07095"/>
    <w:rsid w:val="5BCC3570"/>
    <w:rsid w:val="5C651B97"/>
    <w:rsid w:val="5D437F7D"/>
    <w:rsid w:val="5E846736"/>
    <w:rsid w:val="5E8919FE"/>
    <w:rsid w:val="5ED03A93"/>
    <w:rsid w:val="5F266948"/>
    <w:rsid w:val="5F81147C"/>
    <w:rsid w:val="60103B9D"/>
    <w:rsid w:val="60F75CC9"/>
    <w:rsid w:val="61BD7BD2"/>
    <w:rsid w:val="62955F5C"/>
    <w:rsid w:val="62C65B57"/>
    <w:rsid w:val="6352462F"/>
    <w:rsid w:val="63921CC6"/>
    <w:rsid w:val="64751840"/>
    <w:rsid w:val="651A43A3"/>
    <w:rsid w:val="656C203B"/>
    <w:rsid w:val="65963859"/>
    <w:rsid w:val="66A660FF"/>
    <w:rsid w:val="691A385D"/>
    <w:rsid w:val="698579A9"/>
    <w:rsid w:val="698F00A6"/>
    <w:rsid w:val="69A63917"/>
    <w:rsid w:val="6A3E7A8A"/>
    <w:rsid w:val="6A405C4B"/>
    <w:rsid w:val="6A902328"/>
    <w:rsid w:val="6D4B2536"/>
    <w:rsid w:val="6E22773B"/>
    <w:rsid w:val="6E943FED"/>
    <w:rsid w:val="6FA85431"/>
    <w:rsid w:val="70133860"/>
    <w:rsid w:val="70442565"/>
    <w:rsid w:val="704F57CC"/>
    <w:rsid w:val="71681909"/>
    <w:rsid w:val="71EC4CE2"/>
    <w:rsid w:val="72684737"/>
    <w:rsid w:val="72EA4687"/>
    <w:rsid w:val="72F73DAB"/>
    <w:rsid w:val="7431366F"/>
    <w:rsid w:val="744523D5"/>
    <w:rsid w:val="74604B16"/>
    <w:rsid w:val="74F8786E"/>
    <w:rsid w:val="752D11BC"/>
    <w:rsid w:val="756141E1"/>
    <w:rsid w:val="76490B25"/>
    <w:rsid w:val="77466F96"/>
    <w:rsid w:val="784F47ED"/>
    <w:rsid w:val="78E026CC"/>
    <w:rsid w:val="791A5BDE"/>
    <w:rsid w:val="793D1A38"/>
    <w:rsid w:val="79725C7F"/>
    <w:rsid w:val="7AD42C83"/>
    <w:rsid w:val="7F4D475C"/>
    <w:rsid w:val="7FD732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0"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uiPriority="99" w:name="HTML Preformatted"/>
    <w:lsdException w:uiPriority="99" w:name="HTML Sample"/>
    <w:lsdException w:uiPriority="99"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next w:val="1"/>
    <w:link w:val="33"/>
    <w:qFormat/>
    <w:uiPriority w:val="0"/>
    <w:pPr>
      <w:keepNext/>
      <w:jc w:val="center"/>
      <w:outlineLvl w:val="0"/>
    </w:pPr>
    <w:rPr>
      <w:rFonts w:ascii="黑体" w:hAnsi="Times New Roman" w:eastAsia="黑体" w:cs="Times New Roman"/>
      <w:kern w:val="2"/>
      <w:sz w:val="52"/>
      <w:szCs w:val="24"/>
      <w:lang w:val="en-US" w:eastAsia="zh-CN" w:bidi="ar-SA"/>
    </w:rPr>
  </w:style>
  <w:style w:type="paragraph" w:styleId="4">
    <w:name w:val="heading 2"/>
    <w:basedOn w:val="1"/>
    <w:next w:val="1"/>
    <w:link w:val="34"/>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link w:val="35"/>
    <w:qFormat/>
    <w:uiPriority w:val="0"/>
    <w:pPr>
      <w:keepNext/>
      <w:keepLines/>
      <w:spacing w:before="260" w:after="260" w:line="415" w:lineRule="auto"/>
      <w:outlineLvl w:val="2"/>
    </w:pPr>
    <w:rPr>
      <w:b/>
      <w:sz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39"/>
    <w:unhideWhenUsed/>
    <w:qFormat/>
    <w:uiPriority w:val="99"/>
    <w:rPr>
      <w:rFonts w:ascii="宋体" w:hAnsiTheme="minorHAnsi" w:cstheme="minorBidi"/>
      <w:sz w:val="18"/>
      <w:szCs w:val="18"/>
    </w:rPr>
  </w:style>
  <w:style w:type="paragraph" w:styleId="6">
    <w:name w:val="Normal Indent"/>
    <w:basedOn w:val="1"/>
    <w:next w:val="1"/>
    <w:link w:val="38"/>
    <w:qFormat/>
    <w:uiPriority w:val="99"/>
    <w:pPr>
      <w:autoSpaceDE w:val="0"/>
      <w:autoSpaceDN w:val="0"/>
      <w:adjustRightInd w:val="0"/>
      <w:ind w:firstLine="420"/>
    </w:pPr>
    <w:rPr>
      <w:rFonts w:ascii="宋体"/>
      <w:sz w:val="24"/>
    </w:rPr>
  </w:style>
  <w:style w:type="paragraph" w:styleId="7">
    <w:name w:val="annotation text"/>
    <w:basedOn w:val="1"/>
    <w:link w:val="36"/>
    <w:unhideWhenUsed/>
    <w:qFormat/>
    <w:uiPriority w:val="0"/>
    <w:pPr>
      <w:jc w:val="left"/>
    </w:pPr>
  </w:style>
  <w:style w:type="paragraph" w:styleId="8">
    <w:name w:val="Body Text"/>
    <w:next w:val="1"/>
    <w:link w:val="40"/>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9">
    <w:name w:val="Body Text Indent"/>
    <w:next w:val="1"/>
    <w:link w:val="41"/>
    <w:qFormat/>
    <w:uiPriority w:val="0"/>
    <w:pPr>
      <w:widowControl w:val="0"/>
      <w:spacing w:line="440" w:lineRule="exact"/>
      <w:ind w:firstLine="196" w:firstLineChars="196"/>
      <w:jc w:val="both"/>
    </w:pPr>
    <w:rPr>
      <w:rFonts w:ascii="宋体" w:hAnsi="Times New Roman" w:eastAsia="宋体" w:cs="Century"/>
      <w:spacing w:val="2"/>
      <w:kern w:val="2"/>
      <w:sz w:val="21"/>
      <w:szCs w:val="24"/>
      <w:lang w:val="en-US" w:eastAsia="zh-CN" w:bidi="ar-SA"/>
    </w:rPr>
  </w:style>
  <w:style w:type="paragraph" w:styleId="10">
    <w:name w:val="Block Text"/>
    <w:qFormat/>
    <w:uiPriority w:val="0"/>
    <w:pPr>
      <w:widowControl w:val="0"/>
      <w:adjustRightInd w:val="0"/>
      <w:ind w:left="420" w:right="33"/>
      <w:textAlignment w:val="baseline"/>
    </w:pPr>
    <w:rPr>
      <w:rFonts w:ascii="Times New Roman" w:hAnsi="Times New Roman" w:eastAsia="宋体" w:cs="Times New Roman"/>
      <w:sz w:val="24"/>
      <w:lang w:val="en-US" w:eastAsia="zh-CN" w:bidi="ar-SA"/>
    </w:rPr>
  </w:style>
  <w:style w:type="paragraph" w:styleId="11">
    <w:name w:val="Plain Text"/>
    <w:basedOn w:val="1"/>
    <w:next w:val="6"/>
    <w:link w:val="42"/>
    <w:qFormat/>
    <w:uiPriority w:val="99"/>
    <w:rPr>
      <w:rFonts w:ascii="宋体" w:hAnsi="宋体" w:eastAsiaTheme="minorEastAsia" w:cstheme="minorBidi"/>
      <w:sz w:val="26"/>
      <w:szCs w:val="22"/>
    </w:rPr>
  </w:style>
  <w:style w:type="paragraph" w:styleId="12">
    <w:name w:val="Date"/>
    <w:next w:val="1"/>
    <w:link w:val="43"/>
    <w:qFormat/>
    <w:uiPriority w:val="0"/>
    <w:pPr>
      <w:widowControl w:val="0"/>
      <w:jc w:val="both"/>
    </w:pPr>
    <w:rPr>
      <w:rFonts w:ascii="宋体" w:hAnsi="宋体" w:eastAsia="宋体" w:cs="Times New Roman"/>
      <w:kern w:val="2"/>
      <w:sz w:val="24"/>
      <w:lang w:val="en-US" w:eastAsia="zh-CN" w:bidi="ar-SA"/>
    </w:rPr>
  </w:style>
  <w:style w:type="paragraph" w:styleId="13">
    <w:name w:val="Body Text Indent 2"/>
    <w:link w:val="44"/>
    <w:qFormat/>
    <w:uiPriority w:val="0"/>
    <w:pPr>
      <w:widowControl w:val="0"/>
      <w:spacing w:line="420" w:lineRule="exact"/>
      <w:ind w:firstLine="195" w:firstLineChars="195"/>
      <w:jc w:val="both"/>
    </w:pPr>
    <w:rPr>
      <w:rFonts w:ascii="Times New Roman" w:hAnsi="Times New Roman" w:eastAsia="宋体" w:cs="Times New Roman"/>
      <w:kern w:val="2"/>
      <w:sz w:val="21"/>
      <w:szCs w:val="24"/>
      <w:lang w:val="en-US" w:eastAsia="zh-CN" w:bidi="ar-SA"/>
    </w:rPr>
  </w:style>
  <w:style w:type="paragraph" w:styleId="14">
    <w:name w:val="Balloon Text"/>
    <w:basedOn w:val="1"/>
    <w:link w:val="45"/>
    <w:unhideWhenUsed/>
    <w:qFormat/>
    <w:uiPriority w:val="0"/>
    <w:rPr>
      <w:rFonts w:asciiTheme="minorHAnsi" w:hAnsiTheme="minorHAnsi" w:cstheme="minorBidi"/>
      <w:sz w:val="18"/>
      <w:szCs w:val="18"/>
    </w:rPr>
  </w:style>
  <w:style w:type="paragraph" w:styleId="15">
    <w:name w:val="footer"/>
    <w:basedOn w:val="1"/>
    <w:link w:val="46"/>
    <w:qFormat/>
    <w:uiPriority w:val="0"/>
    <w:pPr>
      <w:tabs>
        <w:tab w:val="center" w:pos="4153"/>
        <w:tab w:val="right" w:pos="8307"/>
      </w:tabs>
      <w:snapToGrid w:val="0"/>
      <w:jc w:val="left"/>
    </w:pPr>
    <w:rPr>
      <w:rFonts w:asciiTheme="minorHAnsi" w:hAnsiTheme="minorHAnsi" w:cstheme="minorBidi"/>
      <w:sz w:val="18"/>
      <w:szCs w:val="22"/>
    </w:rPr>
  </w:style>
  <w:style w:type="paragraph" w:styleId="16">
    <w:name w:val="header"/>
    <w:basedOn w:val="1"/>
    <w:link w:val="47"/>
    <w:qFormat/>
    <w:uiPriority w:val="99"/>
    <w:pPr>
      <w:pBdr>
        <w:bottom w:val="single" w:color="auto" w:sz="6" w:space="1"/>
      </w:pBdr>
      <w:tabs>
        <w:tab w:val="center" w:pos="4153"/>
        <w:tab w:val="right" w:pos="8307"/>
      </w:tabs>
      <w:snapToGrid w:val="0"/>
      <w:jc w:val="center"/>
    </w:pPr>
    <w:rPr>
      <w:sz w:val="18"/>
    </w:rPr>
  </w:style>
  <w:style w:type="paragraph" w:styleId="17">
    <w:name w:val="toc 4"/>
    <w:basedOn w:val="1"/>
    <w:next w:val="1"/>
    <w:qFormat/>
    <w:uiPriority w:val="0"/>
    <w:pPr>
      <w:ind w:left="1260"/>
    </w:pPr>
  </w:style>
  <w:style w:type="paragraph" w:styleId="18">
    <w:name w:val="Normal (Web)"/>
    <w:basedOn w:val="1"/>
    <w:qFormat/>
    <w:uiPriority w:val="0"/>
    <w:pPr>
      <w:spacing w:before="100" w:beforeAutospacing="1" w:after="100" w:afterAutospacing="1"/>
      <w:jc w:val="left"/>
    </w:pPr>
    <w:rPr>
      <w:rFonts w:ascii="Calibri" w:hAnsi="Calibri"/>
      <w:kern w:val="0"/>
      <w:sz w:val="24"/>
      <w:szCs w:val="24"/>
    </w:rPr>
  </w:style>
  <w:style w:type="paragraph" w:styleId="19">
    <w:name w:val="annotation subject"/>
    <w:basedOn w:val="7"/>
    <w:next w:val="7"/>
    <w:link w:val="37"/>
    <w:unhideWhenUsed/>
    <w:qFormat/>
    <w:uiPriority w:val="0"/>
    <w:rPr>
      <w:rFonts w:asciiTheme="minorHAnsi" w:hAnsiTheme="minorHAnsi" w:cstheme="minorBidi"/>
      <w:b/>
      <w:bCs/>
      <w:szCs w:val="22"/>
    </w:rPr>
  </w:style>
  <w:style w:type="table" w:styleId="21">
    <w:name w:val="Table Grid"/>
    <w:basedOn w:val="2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qFormat/>
    <w:uiPriority w:val="0"/>
  </w:style>
  <w:style w:type="character" w:styleId="25">
    <w:name w:val="Emphasis"/>
    <w:basedOn w:val="22"/>
    <w:qFormat/>
    <w:uiPriority w:val="0"/>
  </w:style>
  <w:style w:type="character" w:styleId="26">
    <w:name w:val="HTML Definition"/>
    <w:basedOn w:val="22"/>
    <w:qFormat/>
    <w:uiPriority w:val="0"/>
  </w:style>
  <w:style w:type="character" w:styleId="27">
    <w:name w:val="HTML Acronym"/>
    <w:basedOn w:val="22"/>
    <w:qFormat/>
    <w:uiPriority w:val="0"/>
  </w:style>
  <w:style w:type="character" w:styleId="28">
    <w:name w:val="HTML Variable"/>
    <w:basedOn w:val="22"/>
    <w:qFormat/>
    <w:uiPriority w:val="0"/>
  </w:style>
  <w:style w:type="character" w:styleId="29">
    <w:name w:val="Hyperlink"/>
    <w:qFormat/>
    <w:uiPriority w:val="99"/>
    <w:rPr>
      <w:color w:val="0000FF"/>
      <w:u w:val="single"/>
    </w:rPr>
  </w:style>
  <w:style w:type="character" w:styleId="30">
    <w:name w:val="HTML Code"/>
    <w:basedOn w:val="22"/>
    <w:qFormat/>
    <w:uiPriority w:val="0"/>
    <w:rPr>
      <w:rFonts w:ascii="Courier New" w:hAnsi="Courier New"/>
      <w:sz w:val="20"/>
    </w:rPr>
  </w:style>
  <w:style w:type="character" w:styleId="31">
    <w:name w:val="annotation reference"/>
    <w:unhideWhenUsed/>
    <w:qFormat/>
    <w:uiPriority w:val="0"/>
    <w:rPr>
      <w:sz w:val="21"/>
      <w:szCs w:val="21"/>
    </w:rPr>
  </w:style>
  <w:style w:type="character" w:styleId="32">
    <w:name w:val="HTML Cite"/>
    <w:basedOn w:val="22"/>
    <w:qFormat/>
    <w:uiPriority w:val="0"/>
  </w:style>
  <w:style w:type="character" w:customStyle="1" w:styleId="33">
    <w:name w:val="标题 1 Char"/>
    <w:basedOn w:val="22"/>
    <w:link w:val="3"/>
    <w:qFormat/>
    <w:uiPriority w:val="0"/>
    <w:rPr>
      <w:rFonts w:ascii="黑体" w:hAnsi="Times New Roman" w:eastAsia="黑体" w:cs="Times New Roman"/>
      <w:sz w:val="52"/>
      <w:szCs w:val="24"/>
    </w:rPr>
  </w:style>
  <w:style w:type="character" w:customStyle="1" w:styleId="34">
    <w:name w:val="标题 2 Char"/>
    <w:basedOn w:val="22"/>
    <w:link w:val="4"/>
    <w:qFormat/>
    <w:uiPriority w:val="0"/>
    <w:rPr>
      <w:rFonts w:ascii="Arial" w:hAnsi="Arial" w:eastAsia="黑体" w:cs="Times New Roman"/>
      <w:b/>
      <w:sz w:val="32"/>
      <w:szCs w:val="20"/>
    </w:rPr>
  </w:style>
  <w:style w:type="character" w:customStyle="1" w:styleId="35">
    <w:name w:val="标题 3 Char"/>
    <w:basedOn w:val="22"/>
    <w:link w:val="5"/>
    <w:qFormat/>
    <w:uiPriority w:val="0"/>
    <w:rPr>
      <w:rFonts w:ascii="Times New Roman" w:hAnsi="Times New Roman" w:eastAsia="宋体" w:cs="Times New Roman"/>
      <w:b/>
      <w:sz w:val="32"/>
      <w:szCs w:val="20"/>
    </w:rPr>
  </w:style>
  <w:style w:type="character" w:customStyle="1" w:styleId="36">
    <w:name w:val="批注文字 Char1"/>
    <w:basedOn w:val="22"/>
    <w:link w:val="7"/>
    <w:semiHidden/>
    <w:qFormat/>
    <w:uiPriority w:val="0"/>
    <w:rPr>
      <w:rFonts w:ascii="Times New Roman" w:hAnsi="Times New Roman" w:eastAsia="宋体" w:cs="Times New Roman"/>
      <w:szCs w:val="20"/>
    </w:rPr>
  </w:style>
  <w:style w:type="character" w:customStyle="1" w:styleId="37">
    <w:name w:val="批注主题 Char1"/>
    <w:basedOn w:val="36"/>
    <w:link w:val="19"/>
    <w:semiHidden/>
    <w:qFormat/>
    <w:uiPriority w:val="99"/>
    <w:rPr>
      <w:rFonts w:ascii="Times New Roman" w:hAnsi="Times New Roman" w:eastAsia="宋体" w:cs="Times New Roman"/>
      <w:b/>
      <w:bCs/>
      <w:szCs w:val="20"/>
    </w:rPr>
  </w:style>
  <w:style w:type="character" w:customStyle="1" w:styleId="38">
    <w:name w:val="正文缩进 Char"/>
    <w:link w:val="6"/>
    <w:qFormat/>
    <w:uiPriority w:val="99"/>
    <w:rPr>
      <w:rFonts w:ascii="宋体" w:hAnsi="Times New Roman" w:eastAsia="宋体" w:cs="Times New Roman"/>
      <w:kern w:val="2"/>
      <w:sz w:val="24"/>
    </w:rPr>
  </w:style>
  <w:style w:type="character" w:customStyle="1" w:styleId="39">
    <w:name w:val="文档结构图 Char1"/>
    <w:basedOn w:val="22"/>
    <w:link w:val="2"/>
    <w:semiHidden/>
    <w:qFormat/>
    <w:uiPriority w:val="99"/>
    <w:rPr>
      <w:rFonts w:ascii="宋体" w:hAnsi="Times New Roman" w:eastAsia="宋体" w:cs="Times New Roman"/>
      <w:sz w:val="18"/>
      <w:szCs w:val="18"/>
    </w:rPr>
  </w:style>
  <w:style w:type="character" w:customStyle="1" w:styleId="40">
    <w:name w:val="正文文本 Char"/>
    <w:basedOn w:val="22"/>
    <w:link w:val="8"/>
    <w:qFormat/>
    <w:uiPriority w:val="0"/>
    <w:rPr>
      <w:rFonts w:ascii="Times New Roman" w:hAnsi="Times New Roman" w:eastAsia="宋体" w:cs="Times New Roman"/>
      <w:szCs w:val="24"/>
    </w:rPr>
  </w:style>
  <w:style w:type="character" w:customStyle="1" w:styleId="41">
    <w:name w:val="正文文本缩进 Char"/>
    <w:basedOn w:val="22"/>
    <w:link w:val="9"/>
    <w:qFormat/>
    <w:uiPriority w:val="0"/>
    <w:rPr>
      <w:rFonts w:ascii="宋体" w:hAnsi="Times New Roman" w:eastAsia="宋体" w:cs="Century"/>
      <w:spacing w:val="2"/>
      <w:szCs w:val="24"/>
    </w:rPr>
  </w:style>
  <w:style w:type="character" w:customStyle="1" w:styleId="42">
    <w:name w:val="纯文本 Char1"/>
    <w:basedOn w:val="22"/>
    <w:link w:val="11"/>
    <w:qFormat/>
    <w:uiPriority w:val="99"/>
    <w:rPr>
      <w:rFonts w:ascii="宋体" w:hAnsi="Courier New" w:eastAsia="宋体" w:cs="Courier New"/>
      <w:szCs w:val="21"/>
    </w:rPr>
  </w:style>
  <w:style w:type="character" w:customStyle="1" w:styleId="43">
    <w:name w:val="日期 Char"/>
    <w:basedOn w:val="22"/>
    <w:link w:val="12"/>
    <w:qFormat/>
    <w:uiPriority w:val="0"/>
    <w:rPr>
      <w:rFonts w:ascii="宋体" w:hAnsi="宋体" w:eastAsia="宋体" w:cs="Times New Roman"/>
      <w:sz w:val="24"/>
      <w:szCs w:val="20"/>
    </w:rPr>
  </w:style>
  <w:style w:type="character" w:customStyle="1" w:styleId="44">
    <w:name w:val="正文文本缩进 2 Char"/>
    <w:basedOn w:val="22"/>
    <w:link w:val="13"/>
    <w:qFormat/>
    <w:uiPriority w:val="0"/>
    <w:rPr>
      <w:rFonts w:ascii="Times New Roman" w:hAnsi="Times New Roman" w:eastAsia="宋体" w:cs="Times New Roman"/>
      <w:szCs w:val="24"/>
    </w:rPr>
  </w:style>
  <w:style w:type="character" w:customStyle="1" w:styleId="45">
    <w:name w:val="批注框文本 Char1"/>
    <w:basedOn w:val="22"/>
    <w:link w:val="14"/>
    <w:semiHidden/>
    <w:qFormat/>
    <w:uiPriority w:val="99"/>
    <w:rPr>
      <w:rFonts w:ascii="Times New Roman" w:hAnsi="Times New Roman" w:eastAsia="宋体" w:cs="Times New Roman"/>
      <w:sz w:val="18"/>
      <w:szCs w:val="18"/>
    </w:rPr>
  </w:style>
  <w:style w:type="character" w:customStyle="1" w:styleId="46">
    <w:name w:val="页脚 Char1"/>
    <w:basedOn w:val="22"/>
    <w:link w:val="15"/>
    <w:semiHidden/>
    <w:qFormat/>
    <w:uiPriority w:val="99"/>
    <w:rPr>
      <w:rFonts w:ascii="Times New Roman" w:hAnsi="Times New Roman" w:eastAsia="宋体" w:cs="Times New Roman"/>
      <w:sz w:val="18"/>
      <w:szCs w:val="18"/>
    </w:rPr>
  </w:style>
  <w:style w:type="character" w:customStyle="1" w:styleId="47">
    <w:name w:val="页眉 Char"/>
    <w:basedOn w:val="22"/>
    <w:link w:val="16"/>
    <w:qFormat/>
    <w:uiPriority w:val="99"/>
    <w:rPr>
      <w:rFonts w:ascii="Times New Roman" w:hAnsi="Times New Roman" w:eastAsia="宋体" w:cs="Times New Roman"/>
      <w:sz w:val="18"/>
      <w:szCs w:val="20"/>
    </w:rPr>
  </w:style>
  <w:style w:type="character" w:customStyle="1" w:styleId="48">
    <w:name w:val="批注框文本 Char"/>
    <w:qFormat/>
    <w:uiPriority w:val="0"/>
    <w:rPr>
      <w:rFonts w:eastAsia="宋体"/>
      <w:sz w:val="18"/>
      <w:szCs w:val="18"/>
    </w:rPr>
  </w:style>
  <w:style w:type="character" w:customStyle="1" w:styleId="49">
    <w:name w:val="批注主题 Char"/>
    <w:qFormat/>
    <w:uiPriority w:val="0"/>
    <w:rPr>
      <w:rFonts w:eastAsia="宋体"/>
      <w:b/>
      <w:bCs/>
    </w:rPr>
  </w:style>
  <w:style w:type="character" w:customStyle="1" w:styleId="50">
    <w:name w:val="文档结构图 Char"/>
    <w:qFormat/>
    <w:uiPriority w:val="99"/>
    <w:rPr>
      <w:rFonts w:ascii="宋体" w:eastAsia="宋体"/>
      <w:sz w:val="18"/>
      <w:szCs w:val="18"/>
    </w:rPr>
  </w:style>
  <w:style w:type="character" w:customStyle="1" w:styleId="51">
    <w:name w:val="批注文字 Char"/>
    <w:qFormat/>
    <w:uiPriority w:val="0"/>
    <w:rPr>
      <w:rFonts w:eastAsia="宋体"/>
      <w:kern w:val="2"/>
      <w:sz w:val="21"/>
    </w:rPr>
  </w:style>
  <w:style w:type="character" w:customStyle="1" w:styleId="52">
    <w:name w:val="页脚 Char"/>
    <w:qFormat/>
    <w:uiPriority w:val="0"/>
    <w:rPr>
      <w:rFonts w:eastAsia="宋体"/>
      <w:sz w:val="18"/>
    </w:rPr>
  </w:style>
  <w:style w:type="character" w:customStyle="1" w:styleId="53">
    <w:name w:val="纯文本 Char"/>
    <w:qFormat/>
    <w:uiPriority w:val="0"/>
    <w:rPr>
      <w:rFonts w:ascii="宋体" w:hAnsi="宋体"/>
      <w:sz w:val="26"/>
    </w:rPr>
  </w:style>
  <w:style w:type="paragraph" w:customStyle="1" w:styleId="54">
    <w:name w:val="列出段落1"/>
    <w:basedOn w:val="1"/>
    <w:qFormat/>
    <w:uiPriority w:val="34"/>
    <w:pPr>
      <w:ind w:firstLine="420" w:firstLineChars="200"/>
    </w:pPr>
  </w:style>
  <w:style w:type="paragraph" w:customStyle="1" w:styleId="55">
    <w:name w:val="纯文本1"/>
    <w:next w:val="17"/>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56">
    <w:name w:val="列出段落11"/>
    <w:basedOn w:val="1"/>
    <w:qFormat/>
    <w:uiPriority w:val="99"/>
    <w:pPr>
      <w:ind w:firstLine="420" w:firstLineChars="200"/>
    </w:pPr>
  </w:style>
  <w:style w:type="paragraph" w:customStyle="1" w:styleId="57">
    <w:name w:val="正文文本缩进1"/>
    <w:basedOn w:val="1"/>
    <w:qFormat/>
    <w:uiPriority w:val="0"/>
    <w:pPr>
      <w:spacing w:line="200" w:lineRule="exact"/>
      <w:ind w:firstLine="301"/>
    </w:pPr>
    <w:rPr>
      <w:rFonts w:ascii="宋体" w:hAnsi="Courier New"/>
      <w:spacing w:val="-4"/>
      <w:sz w:val="18"/>
    </w:rPr>
  </w:style>
  <w:style w:type="paragraph" w:customStyle="1" w:styleId="58">
    <w:name w:val="正文文本缩进2"/>
    <w:basedOn w:val="1"/>
    <w:qFormat/>
    <w:uiPriority w:val="0"/>
    <w:pPr>
      <w:spacing w:line="200" w:lineRule="exact"/>
      <w:ind w:firstLine="301"/>
    </w:pPr>
    <w:rPr>
      <w:rFonts w:ascii="宋体" w:hAnsi="Courier New"/>
      <w:spacing w:val="-4"/>
      <w:kern w:val="0"/>
      <w:sz w:val="18"/>
    </w:rPr>
  </w:style>
  <w:style w:type="character" w:customStyle="1" w:styleId="59">
    <w:name w:val="页码1"/>
    <w:basedOn w:val="22"/>
    <w:qFormat/>
    <w:uiPriority w:val="0"/>
  </w:style>
  <w:style w:type="paragraph" w:customStyle="1" w:styleId="60">
    <w:name w:val="正文文本缩进21"/>
    <w:basedOn w:val="1"/>
    <w:qFormat/>
    <w:uiPriority w:val="0"/>
    <w:pPr>
      <w:spacing w:line="200" w:lineRule="exact"/>
      <w:ind w:firstLine="301"/>
    </w:pPr>
    <w:rPr>
      <w:rFonts w:ascii="宋体" w:hAnsi="Courier New"/>
      <w:spacing w:val="-4"/>
      <w:kern w:val="0"/>
      <w:sz w:val="18"/>
    </w:rPr>
  </w:style>
  <w:style w:type="paragraph" w:customStyle="1" w:styleId="61">
    <w:name w:val="修订1"/>
    <w:hidden/>
    <w:semiHidden/>
    <w:qFormat/>
    <w:uiPriority w:val="99"/>
    <w:rPr>
      <w:rFonts w:ascii="Times New Roman" w:hAnsi="Times New Roman" w:eastAsia="宋体" w:cs="Times New Roman"/>
      <w:kern w:val="2"/>
      <w:sz w:val="21"/>
      <w:lang w:val="en-US" w:eastAsia="zh-CN" w:bidi="ar-SA"/>
    </w:rPr>
  </w:style>
  <w:style w:type="paragraph" w:customStyle="1" w:styleId="62">
    <w:name w:val="Í¼±íÕýÎÄ"/>
    <w:basedOn w:val="1"/>
    <w:next w:val="6"/>
    <w:qFormat/>
    <w:uiPriority w:val="0"/>
    <w:pPr>
      <w:ind w:firstLine="420" w:firstLineChars="200"/>
    </w:pPr>
    <w:rPr>
      <w:sz w:val="24"/>
    </w:rPr>
  </w:style>
  <w:style w:type="paragraph" w:styleId="63">
    <w:name w:val="List Paragraph"/>
    <w:basedOn w:val="1"/>
    <w:qFormat/>
    <w:uiPriority w:val="34"/>
    <w:pPr>
      <w:ind w:firstLine="420" w:firstLineChars="200"/>
    </w:pPr>
    <w:rPr>
      <w:rFonts w:ascii="Calibri" w:hAnsi="Calibri"/>
      <w:szCs w:val="22"/>
    </w:rPr>
  </w:style>
  <w:style w:type="character" w:customStyle="1" w:styleId="64">
    <w:name w:val="font01"/>
    <w:qFormat/>
    <w:uiPriority w:val="0"/>
    <w:rPr>
      <w:rFonts w:hint="eastAsia" w:ascii="宋体" w:hAnsi="宋体" w:eastAsia="宋体" w:cs="宋体"/>
      <w:color w:val="000000"/>
      <w:sz w:val="24"/>
      <w:szCs w:val="24"/>
      <w:u w:val="none"/>
    </w:rPr>
  </w:style>
  <w:style w:type="paragraph" w:customStyle="1" w:styleId="65">
    <w:name w:val="纯文本2"/>
    <w:next w:val="17"/>
    <w:qFormat/>
    <w:uiPriority w:val="0"/>
    <w:pPr>
      <w:widowControl w:val="0"/>
      <w:adjustRightInd w:val="0"/>
      <w:jc w:val="both"/>
      <w:textAlignment w:val="baseline"/>
    </w:pPr>
    <w:rPr>
      <w:rFonts w:ascii="宋体" w:hAnsi="Times New Roman" w:eastAsia="宋体" w:cs="Times New Roman"/>
      <w:kern w:val="2"/>
      <w:sz w:val="26"/>
      <w:szCs w:val="22"/>
      <w:lang w:val="en-US" w:eastAsia="zh-CN" w:bidi="ar-SA"/>
    </w:rPr>
  </w:style>
  <w:style w:type="character" w:customStyle="1" w:styleId="66">
    <w:name w:val="样式 纯文本 + (符号) 宋体 Char"/>
    <w:link w:val="67"/>
    <w:qFormat/>
    <w:uiPriority w:val="0"/>
    <w:rPr>
      <w:rFonts w:eastAsia="宋体" w:cs="Times New Roman"/>
      <w:sz w:val="21"/>
      <w:szCs w:val="20"/>
    </w:rPr>
  </w:style>
  <w:style w:type="paragraph" w:customStyle="1" w:styleId="67">
    <w:name w:val="样式 纯文本 + (符号) 宋体"/>
    <w:basedOn w:val="11"/>
    <w:link w:val="66"/>
    <w:qFormat/>
    <w:uiPriority w:val="0"/>
    <w:pPr>
      <w:jc w:val="center"/>
    </w:pPr>
    <w:rPr>
      <w:rFonts w:eastAsia="宋体" w:cs="Times New Roman"/>
      <w:sz w:val="21"/>
      <w:szCs w:val="20"/>
    </w:rPr>
  </w:style>
  <w:style w:type="character" w:customStyle="1" w:styleId="68">
    <w:name w:val="font31"/>
    <w:basedOn w:val="22"/>
    <w:qFormat/>
    <w:uiPriority w:val="0"/>
    <w:rPr>
      <w:rFonts w:hint="eastAsia" w:ascii="宋体" w:hAnsi="宋体" w:eastAsia="宋体" w:cs="宋体"/>
      <w:color w:val="000000"/>
      <w:sz w:val="20"/>
      <w:szCs w:val="20"/>
      <w:u w:val="none"/>
    </w:rPr>
  </w:style>
  <w:style w:type="character" w:customStyle="1" w:styleId="69">
    <w:name w:val="font81"/>
    <w:basedOn w:val="22"/>
    <w:qFormat/>
    <w:uiPriority w:val="0"/>
    <w:rPr>
      <w:rFonts w:hint="eastAsia" w:ascii="宋体" w:hAnsi="宋体" w:eastAsia="宋体" w:cs="宋体"/>
      <w:b/>
      <w:color w:val="000000"/>
      <w:sz w:val="22"/>
      <w:szCs w:val="22"/>
      <w:u w:val="none"/>
    </w:rPr>
  </w:style>
  <w:style w:type="character" w:customStyle="1" w:styleId="70">
    <w:name w:val="apple-converted-space"/>
    <w:basedOn w:val="22"/>
    <w:qFormat/>
    <w:uiPriority w:val="0"/>
  </w:style>
  <w:style w:type="character" w:customStyle="1" w:styleId="71">
    <w:name w:val="font21"/>
    <w:basedOn w:val="22"/>
    <w:qFormat/>
    <w:uiPriority w:val="0"/>
    <w:rPr>
      <w:rFonts w:hint="eastAsia" w:ascii="宋体" w:hAnsi="宋体" w:eastAsia="宋体" w:cs="宋体"/>
      <w:color w:val="000000"/>
      <w:sz w:val="20"/>
      <w:szCs w:val="20"/>
      <w:u w:val="none"/>
    </w:rPr>
  </w:style>
  <w:style w:type="character" w:customStyle="1" w:styleId="72">
    <w:name w:val="font71"/>
    <w:basedOn w:val="22"/>
    <w:qFormat/>
    <w:uiPriority w:val="0"/>
    <w:rPr>
      <w:rFonts w:hint="eastAsia" w:ascii="宋体" w:hAnsi="宋体" w:eastAsia="宋体" w:cs="宋体"/>
      <w:color w:val="000000"/>
      <w:sz w:val="20"/>
      <w:szCs w:val="20"/>
      <w:u w:val="none"/>
    </w:rPr>
  </w:style>
  <w:style w:type="character" w:customStyle="1" w:styleId="73">
    <w:name w:val="font61"/>
    <w:basedOn w:val="22"/>
    <w:qFormat/>
    <w:uiPriority w:val="0"/>
    <w:rPr>
      <w:rFonts w:hint="eastAsia" w:ascii="宋体" w:hAnsi="宋体" w:eastAsia="宋体" w:cs="宋体"/>
      <w:b/>
      <w:color w:val="000000"/>
      <w:sz w:val="24"/>
      <w:szCs w:val="24"/>
      <w:u w:val="none"/>
    </w:rPr>
  </w:style>
  <w:style w:type="character" w:customStyle="1" w:styleId="74">
    <w:name w:val="font51"/>
    <w:basedOn w:val="22"/>
    <w:qFormat/>
    <w:uiPriority w:val="0"/>
    <w:rPr>
      <w:rFonts w:hint="eastAsia" w:ascii="宋体" w:hAnsi="宋体" w:eastAsia="宋体" w:cs="宋体"/>
      <w:color w:val="FF0000"/>
      <w:sz w:val="20"/>
      <w:szCs w:val="20"/>
      <w:u w:val="none"/>
    </w:rPr>
  </w:style>
  <w:style w:type="character" w:customStyle="1" w:styleId="75">
    <w:name w:val="font41"/>
    <w:basedOn w:val="22"/>
    <w:qFormat/>
    <w:uiPriority w:val="0"/>
    <w:rPr>
      <w:rFonts w:hint="default" w:ascii="Arial" w:hAnsi="Arial" w:cs="Arial"/>
      <w:color w:val="FF0000"/>
      <w:sz w:val="20"/>
      <w:szCs w:val="20"/>
      <w:u w:val="none"/>
    </w:rPr>
  </w:style>
  <w:style w:type="character" w:customStyle="1" w:styleId="76">
    <w:name w:val="font11"/>
    <w:basedOn w:val="22"/>
    <w:qFormat/>
    <w:uiPriority w:val="0"/>
    <w:rPr>
      <w:rFonts w:hint="default" w:ascii="Arial" w:hAnsi="Arial" w:cs="Arial"/>
      <w:color w:val="FF0000"/>
      <w:sz w:val="20"/>
      <w:szCs w:val="20"/>
      <w:u w:val="none"/>
    </w:rPr>
  </w:style>
  <w:style w:type="character" w:customStyle="1" w:styleId="77">
    <w:name w:val="Char Char3"/>
    <w:qFormat/>
    <w:locked/>
    <w:uiPriority w:val="0"/>
    <w:rPr>
      <w:rFonts w:ascii="宋体" w:hAnsi="Courier New" w:eastAsia="宋体"/>
      <w:kern w:val="2"/>
      <w:sz w:val="21"/>
      <w:lang w:val="en-US" w:eastAsia="zh-CN" w:bidi="ar-SA"/>
    </w:rPr>
  </w:style>
  <w:style w:type="paragraph" w:customStyle="1" w:styleId="78">
    <w:name w:val="plain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9">
    <w:name w:val="列出段落2"/>
    <w:basedOn w:val="1"/>
    <w:qFormat/>
    <w:uiPriority w:val="0"/>
    <w:pPr>
      <w:ind w:firstLine="420" w:firstLineChars="200"/>
    </w:pPr>
    <w:rPr>
      <w:rFonts w:ascii="Calibri" w:hAnsi="Calibri"/>
      <w:szCs w:val="22"/>
    </w:rPr>
  </w:style>
  <w:style w:type="paragraph" w:customStyle="1" w:styleId="80">
    <w:name w:val="列出段落3"/>
    <w:basedOn w:val="1"/>
    <w:qFormat/>
    <w:uiPriority w:val="0"/>
    <w:pPr>
      <w:ind w:firstLine="420" w:firstLineChars="200"/>
    </w:pPr>
    <w:rPr>
      <w:rFonts w:ascii="Calibri" w:hAnsi="Calibri"/>
      <w:szCs w:val="22"/>
    </w:rPr>
  </w:style>
  <w:style w:type="paragraph" w:customStyle="1" w:styleId="81">
    <w:name w:val="Revision"/>
    <w:hidden/>
    <w:semiHidden/>
    <w:qFormat/>
    <w:uiPriority w:val="99"/>
    <w:rPr>
      <w:rFonts w:ascii="Times New Roman" w:hAnsi="Times New Roman" w:eastAsia="宋体" w:cs="Times New Roman"/>
      <w:kern w:val="2"/>
      <w:sz w:val="21"/>
      <w:lang w:val="en-US" w:eastAsia="zh-CN" w:bidi="ar-SA"/>
    </w:rPr>
  </w:style>
  <w:style w:type="paragraph" w:customStyle="1" w:styleId="82">
    <w:name w:val="纯文本3"/>
    <w:basedOn w:val="1"/>
    <w:link w:val="83"/>
    <w:qFormat/>
    <w:uiPriority w:val="0"/>
    <w:pPr>
      <w:adjustRightInd w:val="0"/>
    </w:pPr>
    <w:rPr>
      <w:rFonts w:ascii="宋体" w:hAnsi="Courier New" w:eastAsia="楷体_GB2312"/>
      <w:sz w:val="26"/>
    </w:rPr>
  </w:style>
  <w:style w:type="character" w:customStyle="1" w:styleId="83">
    <w:name w:val="Plain Text Char"/>
    <w:link w:val="82"/>
    <w:qFormat/>
    <w:locked/>
    <w:uiPriority w:val="0"/>
    <w:rPr>
      <w:rFonts w:ascii="宋体" w:hAnsi="Courier New" w:eastAsia="楷体_GB2312" w:cs="Times New Roman"/>
      <w:kern w:val="2"/>
      <w:sz w:val="26"/>
    </w:rPr>
  </w:style>
  <w:style w:type="character" w:customStyle="1" w:styleId="84">
    <w:name w:val="纯文本 字符"/>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FBF963-4FD9-45EC-8648-645892EBA41E}">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24</Pages>
  <Words>3937</Words>
  <Characters>4233</Characters>
  <Lines>139</Lines>
  <Paragraphs>39</Paragraphs>
  <TotalTime>0</TotalTime>
  <ScaleCrop>false</ScaleCrop>
  <LinksUpToDate>false</LinksUpToDate>
  <CharactersWithSpaces>4332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2018-03-24T08:20:00Z</dcterms:created>
  <dc:creator>王波</dc:creator>
  <cp:lastModifiedBy>兰馥郁</cp:lastModifiedBy>
  <cp:lastPrinted>2018-07-30T03:04:00Z</cp:lastPrinted>
  <dcterms:modified xsi:type="dcterms:W3CDTF">2025-12-25T07:39:03Z</dcterms:modified>
  <cp:revision>257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eyJoZGlkIjoiZDBiNTA3OWI5NTI5NzliMDdhOTA5Nzg1YzIyNTUzZDkiLCJ1c2VySWQiOiIyNzYwMTEwNDMifQ==</vt:lpwstr>
  </property>
  <property fmtid="{D5CDD505-2E9C-101B-9397-08002B2CF9AE}" pid="4" name="ICV">
    <vt:lpwstr>7969AF05781847AB89564A98B82AC2A2_12</vt:lpwstr>
  </property>
</Properties>
</file>