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color w:val="auto"/>
          <w:sz w:val="44"/>
          <w:szCs w:val="44"/>
          <w:highlight w:val="none"/>
        </w:rPr>
      </w:pPr>
    </w:p>
    <w:p w14:paraId="481F5C4A">
      <w:pPr>
        <w:tabs>
          <w:tab w:val="left" w:pos="2450"/>
        </w:tabs>
        <w:spacing w:line="680" w:lineRule="exact"/>
        <w:rPr>
          <w:rFonts w:ascii="宋体" w:hAnsi="宋体" w:cs="宋体"/>
          <w:color w:val="auto"/>
          <w:sz w:val="44"/>
          <w:szCs w:val="44"/>
          <w:highlight w:val="none"/>
        </w:rPr>
      </w:pPr>
    </w:p>
    <w:p w14:paraId="44CCC970">
      <w:pPr>
        <w:snapToGrid w:val="0"/>
        <w:spacing w:line="360" w:lineRule="auto"/>
        <w:jc w:val="center"/>
        <w:rPr>
          <w:rFonts w:ascii="宋体" w:hAnsi="宋体" w:cs="黑体"/>
          <w:b/>
          <w:color w:val="auto"/>
          <w:spacing w:val="170"/>
          <w:kern w:val="0"/>
          <w:sz w:val="84"/>
          <w:szCs w:val="84"/>
          <w:highlight w:val="none"/>
        </w:rPr>
      </w:pPr>
    </w:p>
    <w:p w14:paraId="6CC715CB">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243534A1">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157D044A">
      <w:pPr>
        <w:adjustRightInd w:val="0"/>
        <w:snapToGrid w:val="0"/>
        <w:spacing w:line="800" w:lineRule="exact"/>
        <w:rPr>
          <w:rFonts w:ascii="宋体" w:hAnsi="宋体" w:cs="宋体"/>
          <w:color w:val="auto"/>
          <w:sz w:val="44"/>
          <w:szCs w:val="44"/>
          <w:highlight w:val="none"/>
        </w:rPr>
      </w:pPr>
    </w:p>
    <w:p w14:paraId="20764919">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采购</w:t>
      </w:r>
      <w:r>
        <w:rPr>
          <w:rFonts w:hint="eastAsia" w:ascii="宋体" w:hAnsi="宋体"/>
          <w:bCs/>
          <w:color w:val="auto"/>
          <w:sz w:val="28"/>
          <w:szCs w:val="32"/>
          <w:highlight w:val="none"/>
        </w:rPr>
        <w:t>项目编号：CT-SX-2026018</w:t>
      </w:r>
    </w:p>
    <w:p w14:paraId="7B486A66">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采购项目名称：常州经开区文化活动中心中央空调水处理</w:t>
      </w:r>
      <w:r>
        <w:rPr>
          <w:rFonts w:hint="eastAsia" w:ascii="宋体" w:hAnsi="宋体"/>
          <w:bCs/>
          <w:color w:val="auto"/>
          <w:sz w:val="28"/>
          <w:szCs w:val="32"/>
          <w:highlight w:val="none"/>
          <w:lang w:val="en-US" w:eastAsia="zh-CN"/>
        </w:rPr>
        <w:t>及主机保养服务</w:t>
      </w:r>
      <w:r>
        <w:rPr>
          <w:rFonts w:hint="eastAsia" w:ascii="宋体" w:hAnsi="宋体"/>
          <w:bCs/>
          <w:color w:val="auto"/>
          <w:sz w:val="28"/>
          <w:szCs w:val="32"/>
          <w:highlight w:val="none"/>
        </w:rPr>
        <w:t xml:space="preserve"> </w:t>
      </w:r>
    </w:p>
    <w:p w14:paraId="4D28A5F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 购 人名称：江苏常州经济开发区公共文化服务中心 </w:t>
      </w:r>
    </w:p>
    <w:p w14:paraId="70C35132">
      <w:pPr>
        <w:adjustRightInd w:val="0"/>
        <w:snapToGrid w:val="0"/>
        <w:spacing w:line="800" w:lineRule="exact"/>
        <w:ind w:firstLine="2640" w:firstLineChars="600"/>
        <w:rPr>
          <w:rFonts w:ascii="宋体" w:hAnsi="宋体" w:cs="宋体"/>
          <w:color w:val="auto"/>
          <w:sz w:val="44"/>
          <w:szCs w:val="44"/>
          <w:highlight w:val="none"/>
        </w:rPr>
      </w:pPr>
    </w:p>
    <w:p w14:paraId="6908C0FA">
      <w:pPr>
        <w:spacing w:line="680" w:lineRule="exact"/>
        <w:jc w:val="center"/>
        <w:rPr>
          <w:rFonts w:ascii="宋体" w:hAnsi="宋体" w:cs="宋体"/>
          <w:color w:val="auto"/>
          <w:sz w:val="44"/>
          <w:szCs w:val="44"/>
          <w:highlight w:val="none"/>
        </w:rPr>
      </w:pPr>
    </w:p>
    <w:p w14:paraId="57735228">
      <w:pPr>
        <w:spacing w:line="480" w:lineRule="exact"/>
        <w:ind w:firstLine="750" w:firstLineChars="250"/>
        <w:jc w:val="center"/>
        <w:rPr>
          <w:rFonts w:ascii="宋体" w:hAnsi="宋体" w:cs="宋体"/>
          <w:color w:val="auto"/>
          <w:sz w:val="30"/>
          <w:szCs w:val="30"/>
          <w:highlight w:val="none"/>
        </w:rPr>
      </w:pPr>
    </w:p>
    <w:p w14:paraId="7FE6E503">
      <w:pPr>
        <w:spacing w:line="480" w:lineRule="exact"/>
        <w:jc w:val="center"/>
        <w:rPr>
          <w:rFonts w:ascii="宋体" w:hAnsi="宋体" w:cs="宋体"/>
          <w:color w:val="auto"/>
          <w:sz w:val="36"/>
          <w:szCs w:val="36"/>
          <w:highlight w:val="none"/>
        </w:rPr>
      </w:pPr>
    </w:p>
    <w:p w14:paraId="7319135E">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w:t>
      </w:r>
      <w:r>
        <w:rPr>
          <w:rFonts w:hint="eastAsia" w:ascii="宋体" w:hAnsi="宋体" w:cs="宋体"/>
          <w:color w:val="auto"/>
          <w:sz w:val="36"/>
          <w:szCs w:val="36"/>
          <w:highlight w:val="none"/>
        </w:rPr>
        <w:t>城投建设工程招标有限公司</w:t>
      </w:r>
    </w:p>
    <w:p w14:paraId="3EC24C0F">
      <w:pPr>
        <w:jc w:val="center"/>
        <w:rPr>
          <w:rFonts w:ascii="宋体" w:hAnsi="宋体" w:cs="宋体"/>
          <w:color w:val="auto"/>
          <w:sz w:val="36"/>
          <w:szCs w:val="36"/>
          <w:highlight w:val="none"/>
        </w:rPr>
      </w:pPr>
    </w:p>
    <w:p w14:paraId="43B090A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六</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四</w:t>
      </w:r>
      <w:r>
        <w:rPr>
          <w:rFonts w:hint="eastAsia" w:ascii="宋体" w:hAnsi="宋体" w:cs="宋体"/>
          <w:color w:val="auto"/>
          <w:w w:val="90"/>
          <w:sz w:val="44"/>
          <w:szCs w:val="44"/>
          <w:highlight w:val="none"/>
        </w:rPr>
        <w:t>月</w:t>
      </w:r>
    </w:p>
    <w:p w14:paraId="023F31AD">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3475E571">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常州经开区文化活动中心中央空调水处理及主机保养服务询价公告</w:t>
      </w:r>
    </w:p>
    <w:p w14:paraId="5A9AFE0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0260E466">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s="Times New Roman"/>
          <w:color w:val="auto"/>
          <w:sz w:val="32"/>
          <w:szCs w:val="32"/>
          <w:highlight w:val="none"/>
        </w:rPr>
        <w:t>常州经开区文化活动中心中央空调水处理</w:t>
      </w:r>
      <w:r>
        <w:rPr>
          <w:rFonts w:hint="eastAsia" w:ascii="仿宋" w:hAnsi="仿宋" w:eastAsia="仿宋" w:cs="Times New Roman"/>
          <w:color w:val="auto"/>
          <w:sz w:val="32"/>
          <w:szCs w:val="32"/>
          <w:highlight w:val="none"/>
          <w:lang w:val="en-US" w:eastAsia="zh-CN"/>
        </w:rPr>
        <w:t>及主机保养服务</w:t>
      </w:r>
      <w:r>
        <w:rPr>
          <w:rFonts w:hint="eastAsia" w:ascii="仿宋" w:hAnsi="仿宋" w:eastAsia="仿宋"/>
          <w:color w:val="auto"/>
          <w:sz w:val="32"/>
          <w:szCs w:val="32"/>
          <w:highlight w:val="none"/>
        </w:rPr>
        <w:t>的潜在供应商应在</w:t>
      </w:r>
      <w:r>
        <w:rPr>
          <w:rFonts w:hint="eastAsia" w:ascii="仿宋" w:hAnsi="仿宋" w:eastAsia="仿宋"/>
          <w:color w:val="auto"/>
          <w:sz w:val="32"/>
          <w:szCs w:val="32"/>
          <w:highlight w:val="none"/>
        </w:rPr>
        <w:t>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11253689">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3175BD1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rPr>
        <w:t>CT-SX-2026018</w:t>
      </w:r>
    </w:p>
    <w:p w14:paraId="01784B32">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项目名称：常州经开区文化活</w:t>
      </w:r>
      <w:r>
        <w:rPr>
          <w:rFonts w:hint="eastAsia" w:ascii="仿宋" w:hAnsi="仿宋" w:eastAsia="仿宋"/>
          <w:color w:val="auto"/>
          <w:sz w:val="32"/>
          <w:szCs w:val="32"/>
          <w:highlight w:val="none"/>
        </w:rPr>
        <w:t>动中心中央空调水处理及主机保养服务</w:t>
      </w:r>
    </w:p>
    <w:p w14:paraId="3A577D75">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25C7B6F2">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val="en-US" w:eastAsia="zh-CN"/>
        </w:rPr>
        <w:t>人民币5.7万</w:t>
      </w:r>
      <w:r>
        <w:rPr>
          <w:rFonts w:hint="eastAsia" w:ascii="仿宋" w:hAnsi="仿宋" w:eastAsia="仿宋"/>
          <w:color w:val="auto"/>
          <w:sz w:val="32"/>
          <w:szCs w:val="32"/>
          <w:highlight w:val="none"/>
        </w:rPr>
        <w:t>元（采购包1：人民币2.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万元；采购包2:人民币3.</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w:t>
      </w:r>
    </w:p>
    <w:p w14:paraId="573B540A">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val="en-US" w:eastAsia="zh-CN"/>
        </w:rPr>
        <w:t>人民币5.7万</w:t>
      </w:r>
      <w:r>
        <w:rPr>
          <w:rFonts w:hint="eastAsia" w:ascii="仿宋" w:hAnsi="仿宋" w:eastAsia="仿宋"/>
          <w:color w:val="auto"/>
          <w:sz w:val="32"/>
          <w:szCs w:val="32"/>
          <w:highlight w:val="none"/>
        </w:rPr>
        <w:t>元（采购包1：人民币2.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万元；采购包2:人民币3.</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w:t>
      </w:r>
    </w:p>
    <w:p w14:paraId="756595DC">
      <w:pPr>
        <w:snapToGrid w:val="0"/>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6.采购需求：</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613"/>
        <w:gridCol w:w="1652"/>
        <w:gridCol w:w="4369"/>
      </w:tblGrid>
      <w:tr w14:paraId="79B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9" w:type="dxa"/>
            <w:noWrap w:val="0"/>
            <w:vAlign w:val="center"/>
          </w:tcPr>
          <w:p w14:paraId="15493343">
            <w:pPr>
              <w:jc w:val="center"/>
              <w:rPr>
                <w:rFonts w:ascii="仿宋" w:hAnsi="仿宋" w:eastAsia="仿宋"/>
                <w:bCs/>
                <w:color w:val="auto"/>
                <w:sz w:val="32"/>
                <w:szCs w:val="32"/>
                <w:highlight w:val="none"/>
              </w:rPr>
            </w:pPr>
            <w:r>
              <w:rPr>
                <w:rFonts w:ascii="仿宋" w:hAnsi="仿宋" w:eastAsia="仿宋"/>
                <w:bCs/>
                <w:color w:val="auto"/>
                <w:sz w:val="32"/>
                <w:szCs w:val="32"/>
                <w:highlight w:val="none"/>
              </w:rPr>
              <w:t>包号</w:t>
            </w:r>
          </w:p>
        </w:tc>
        <w:tc>
          <w:tcPr>
            <w:tcW w:w="1613" w:type="dxa"/>
            <w:noWrap w:val="0"/>
            <w:vAlign w:val="center"/>
          </w:tcPr>
          <w:p w14:paraId="1C462D7E">
            <w:pPr>
              <w:jc w:val="center"/>
              <w:rPr>
                <w:rFonts w:hint="default" w:ascii="仿宋" w:hAnsi="仿宋" w:eastAsia="仿宋"/>
                <w:bCs/>
                <w:color w:val="auto"/>
                <w:sz w:val="32"/>
                <w:szCs w:val="32"/>
                <w:highlight w:val="none"/>
                <w:lang w:val="en-US" w:eastAsia="zh-CN"/>
              </w:rPr>
            </w:pPr>
            <w:r>
              <w:rPr>
                <w:rFonts w:ascii="仿宋" w:hAnsi="仿宋" w:eastAsia="仿宋"/>
                <w:bCs/>
                <w:color w:val="auto"/>
                <w:sz w:val="32"/>
                <w:szCs w:val="32"/>
                <w:highlight w:val="none"/>
              </w:rPr>
              <w:t>标的名称</w:t>
            </w:r>
          </w:p>
        </w:tc>
        <w:tc>
          <w:tcPr>
            <w:tcW w:w="1652" w:type="dxa"/>
            <w:noWrap w:val="0"/>
            <w:vAlign w:val="center"/>
          </w:tcPr>
          <w:p w14:paraId="2435325F">
            <w:pPr>
              <w:jc w:val="center"/>
              <w:rPr>
                <w:rFonts w:ascii="仿宋" w:hAnsi="仿宋" w:eastAsia="仿宋"/>
                <w:bCs/>
                <w:color w:val="auto"/>
                <w:sz w:val="32"/>
                <w:szCs w:val="32"/>
                <w:highlight w:val="none"/>
              </w:rPr>
            </w:pPr>
            <w:r>
              <w:rPr>
                <w:rFonts w:ascii="仿宋" w:hAnsi="仿宋" w:eastAsia="仿宋"/>
                <w:bCs/>
                <w:color w:val="auto"/>
                <w:sz w:val="32"/>
                <w:szCs w:val="32"/>
                <w:highlight w:val="none"/>
              </w:rPr>
              <w:t>采购包预算金额</w:t>
            </w:r>
          </w:p>
          <w:p w14:paraId="0268043E">
            <w:pPr>
              <w:jc w:val="center"/>
              <w:rPr>
                <w:rFonts w:ascii="仿宋" w:hAnsi="仿宋" w:eastAsia="仿宋"/>
                <w:bCs/>
                <w:color w:val="auto"/>
                <w:sz w:val="32"/>
                <w:szCs w:val="32"/>
                <w:highlight w:val="none"/>
              </w:rPr>
            </w:pPr>
            <w:r>
              <w:rPr>
                <w:rFonts w:ascii="仿宋" w:hAnsi="仿宋" w:eastAsia="仿宋"/>
                <w:bCs/>
                <w:color w:val="auto"/>
                <w:sz w:val="32"/>
                <w:szCs w:val="32"/>
                <w:highlight w:val="none"/>
              </w:rPr>
              <w:t>（万元）</w:t>
            </w:r>
          </w:p>
        </w:tc>
        <w:tc>
          <w:tcPr>
            <w:tcW w:w="2565" w:type="pct"/>
            <w:noWrap w:val="0"/>
            <w:vAlign w:val="center"/>
          </w:tcPr>
          <w:p w14:paraId="2F717EA0">
            <w:pPr>
              <w:jc w:val="center"/>
              <w:rPr>
                <w:rFonts w:ascii="仿宋" w:hAnsi="仿宋" w:eastAsia="仿宋"/>
                <w:color w:val="auto"/>
                <w:sz w:val="32"/>
                <w:szCs w:val="32"/>
                <w:highlight w:val="none"/>
              </w:rPr>
            </w:pPr>
            <w:r>
              <w:rPr>
                <w:rFonts w:ascii="仿宋" w:hAnsi="仿宋" w:eastAsia="仿宋"/>
                <w:color w:val="auto"/>
                <w:sz w:val="32"/>
                <w:szCs w:val="32"/>
                <w:highlight w:val="none"/>
              </w:rPr>
              <w:t>简要技术需求或服务要求</w:t>
            </w:r>
          </w:p>
        </w:tc>
      </w:tr>
      <w:tr w14:paraId="418A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noWrap w:val="0"/>
            <w:vAlign w:val="center"/>
          </w:tcPr>
          <w:p w14:paraId="67340D32">
            <w:pPr>
              <w:jc w:val="center"/>
              <w:rPr>
                <w:rFonts w:ascii="仿宋" w:hAnsi="仿宋" w:eastAsia="仿宋"/>
                <w:bCs/>
                <w:color w:val="auto"/>
                <w:sz w:val="32"/>
                <w:szCs w:val="32"/>
                <w:highlight w:val="none"/>
              </w:rPr>
            </w:pPr>
            <w:r>
              <w:rPr>
                <w:rFonts w:ascii="仿宋" w:hAnsi="仿宋" w:eastAsia="仿宋"/>
                <w:bCs/>
                <w:color w:val="auto"/>
                <w:sz w:val="32"/>
                <w:szCs w:val="32"/>
                <w:highlight w:val="none"/>
              </w:rPr>
              <w:t>01</w:t>
            </w:r>
          </w:p>
        </w:tc>
        <w:tc>
          <w:tcPr>
            <w:tcW w:w="947" w:type="pct"/>
            <w:noWrap w:val="0"/>
            <w:vAlign w:val="center"/>
          </w:tcPr>
          <w:p w14:paraId="6D23E527">
            <w:pPr>
              <w:jc w:val="center"/>
              <w:rPr>
                <w:rFonts w:ascii="仿宋" w:hAnsi="仿宋" w:eastAsia="仿宋"/>
                <w:bCs/>
                <w:color w:val="auto"/>
                <w:sz w:val="32"/>
                <w:szCs w:val="32"/>
                <w:highlight w:val="none"/>
              </w:rPr>
            </w:pPr>
            <w:r>
              <w:rPr>
                <w:rFonts w:hint="eastAsia" w:ascii="仿宋" w:hAnsi="仿宋" w:eastAsia="仿宋"/>
                <w:color w:val="auto"/>
                <w:sz w:val="32"/>
                <w:szCs w:val="32"/>
                <w:highlight w:val="none"/>
              </w:rPr>
              <w:t>水处理</w:t>
            </w:r>
          </w:p>
        </w:tc>
        <w:tc>
          <w:tcPr>
            <w:tcW w:w="970" w:type="pct"/>
            <w:noWrap w:val="0"/>
            <w:vAlign w:val="center"/>
          </w:tcPr>
          <w:p w14:paraId="142B026C">
            <w:pPr>
              <w:jc w:val="center"/>
              <w:rPr>
                <w:rFonts w:hint="default" w:ascii="仿宋" w:hAnsi="仿宋" w:eastAsia="仿宋"/>
                <w:bCs/>
                <w:color w:val="auto"/>
                <w:sz w:val="32"/>
                <w:szCs w:val="32"/>
                <w:highlight w:val="none"/>
                <w:lang w:val="en-US" w:eastAsia="zh-CN"/>
              </w:rPr>
            </w:pPr>
            <w:r>
              <w:rPr>
                <w:rFonts w:hint="eastAsia" w:ascii="仿宋" w:hAnsi="仿宋" w:eastAsia="仿宋"/>
                <w:bCs/>
                <w:color w:val="auto"/>
                <w:sz w:val="32"/>
                <w:szCs w:val="32"/>
                <w:highlight w:val="none"/>
                <w:lang w:val="en-US" w:eastAsia="zh-CN"/>
              </w:rPr>
              <w:t>2.4</w:t>
            </w:r>
          </w:p>
        </w:tc>
        <w:tc>
          <w:tcPr>
            <w:tcW w:w="2565" w:type="pct"/>
            <w:noWrap w:val="0"/>
            <w:vAlign w:val="center"/>
          </w:tcPr>
          <w:p w14:paraId="04FFD65E">
            <w:pPr>
              <w:jc w:val="center"/>
              <w:rPr>
                <w:rFonts w:ascii="仿宋" w:hAnsi="仿宋" w:eastAsia="仿宋"/>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常州经开区文化活动中心作为公众参与展览、演出、会议等活动的核心场所，中央空调系统是其维持舒适环境的关键设施，为降低空调运行水系统运行引起的杂质、污垢、藻类对系统性能、寿命产生的损害，以及杜绝杂质引发的有害微生物传播导致的公共卫生安全问题，</w:t>
            </w:r>
            <w:r>
              <w:rPr>
                <w:rFonts w:hint="eastAsia" w:ascii="Times New Roman" w:hAnsi="Times New Roman" w:eastAsia="仿宋_GB2312" w:cs="Times New Roman"/>
                <w:snapToGrid w:val="0"/>
                <w:color w:val="auto"/>
                <w:kern w:val="0"/>
                <w:sz w:val="32"/>
                <w:szCs w:val="32"/>
                <w:highlight w:val="none"/>
                <w:lang w:val="en-US" w:eastAsia="zh-CN"/>
              </w:rPr>
              <w:t>现</w:t>
            </w:r>
            <w:r>
              <w:rPr>
                <w:rFonts w:hint="default" w:ascii="Times New Roman" w:hAnsi="Times New Roman" w:eastAsia="仿宋_GB2312" w:cs="Times New Roman"/>
                <w:snapToGrid w:val="0"/>
                <w:color w:val="auto"/>
                <w:kern w:val="0"/>
                <w:sz w:val="32"/>
                <w:szCs w:val="32"/>
                <w:highlight w:val="none"/>
                <w:lang w:val="en-US" w:eastAsia="zh-CN"/>
              </w:rPr>
              <w:t>进行中央空调水处理工作。</w:t>
            </w:r>
          </w:p>
        </w:tc>
      </w:tr>
      <w:tr w14:paraId="15DA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noWrap w:val="0"/>
            <w:vAlign w:val="center"/>
          </w:tcPr>
          <w:p w14:paraId="67C30AFC">
            <w:pPr>
              <w:jc w:val="center"/>
              <w:rPr>
                <w:rFonts w:ascii="仿宋" w:hAnsi="仿宋" w:eastAsia="仿宋"/>
                <w:bCs/>
                <w:color w:val="auto"/>
                <w:sz w:val="32"/>
                <w:szCs w:val="32"/>
                <w:highlight w:val="none"/>
              </w:rPr>
            </w:pPr>
            <w:r>
              <w:rPr>
                <w:rFonts w:ascii="仿宋" w:hAnsi="仿宋" w:eastAsia="仿宋"/>
                <w:bCs/>
                <w:color w:val="auto"/>
                <w:sz w:val="32"/>
                <w:szCs w:val="32"/>
                <w:highlight w:val="none"/>
              </w:rPr>
              <w:t>02</w:t>
            </w:r>
          </w:p>
        </w:tc>
        <w:tc>
          <w:tcPr>
            <w:tcW w:w="947" w:type="pct"/>
            <w:noWrap w:val="0"/>
            <w:vAlign w:val="center"/>
          </w:tcPr>
          <w:p w14:paraId="01AFCF2A">
            <w:pPr>
              <w:jc w:val="center"/>
              <w:rPr>
                <w:rFonts w:ascii="仿宋" w:hAnsi="仿宋" w:eastAsia="仿宋"/>
                <w:bCs/>
                <w:color w:val="auto"/>
                <w:sz w:val="32"/>
                <w:szCs w:val="32"/>
                <w:highlight w:val="none"/>
              </w:rPr>
            </w:pPr>
            <w:r>
              <w:rPr>
                <w:rFonts w:hint="eastAsia" w:ascii="仿宋" w:hAnsi="仿宋" w:eastAsia="仿宋"/>
                <w:color w:val="auto"/>
                <w:sz w:val="32"/>
                <w:szCs w:val="32"/>
                <w:highlight w:val="none"/>
              </w:rPr>
              <w:t>主机保养</w:t>
            </w:r>
          </w:p>
        </w:tc>
        <w:tc>
          <w:tcPr>
            <w:tcW w:w="970" w:type="pct"/>
            <w:noWrap w:val="0"/>
            <w:vAlign w:val="center"/>
          </w:tcPr>
          <w:p w14:paraId="6B2FE5A6">
            <w:pPr>
              <w:jc w:val="center"/>
              <w:rPr>
                <w:rFonts w:hint="default" w:ascii="仿宋" w:hAnsi="仿宋" w:eastAsia="仿宋"/>
                <w:bCs/>
                <w:color w:val="auto"/>
                <w:sz w:val="32"/>
                <w:szCs w:val="32"/>
                <w:highlight w:val="none"/>
                <w:lang w:val="en-US" w:eastAsia="zh-CN"/>
              </w:rPr>
            </w:pPr>
            <w:r>
              <w:rPr>
                <w:rFonts w:hint="eastAsia" w:ascii="仿宋" w:hAnsi="仿宋" w:eastAsia="仿宋"/>
                <w:bCs/>
                <w:color w:val="auto"/>
                <w:sz w:val="32"/>
                <w:szCs w:val="32"/>
                <w:highlight w:val="none"/>
                <w:lang w:val="en-US" w:eastAsia="zh-CN"/>
              </w:rPr>
              <w:t>3.3</w:t>
            </w:r>
          </w:p>
        </w:tc>
        <w:tc>
          <w:tcPr>
            <w:tcW w:w="2565" w:type="pct"/>
            <w:noWrap w:val="0"/>
            <w:vAlign w:val="center"/>
          </w:tcPr>
          <w:p w14:paraId="1968CDB1">
            <w:pPr>
              <w:jc w:val="center"/>
              <w:rPr>
                <w:rFonts w:ascii="仿宋" w:hAnsi="仿宋" w:eastAsia="仿宋"/>
                <w:color w:val="auto"/>
                <w:kern w:val="0"/>
                <w:sz w:val="32"/>
                <w:szCs w:val="32"/>
                <w:highlight w:val="none"/>
              </w:rPr>
            </w:pPr>
            <w:r>
              <w:rPr>
                <w:rFonts w:hint="eastAsia" w:ascii="仿宋" w:hAnsi="仿宋" w:eastAsia="仿宋"/>
                <w:color w:val="auto"/>
                <w:kern w:val="0"/>
                <w:sz w:val="32"/>
                <w:szCs w:val="32"/>
                <w:highlight w:val="none"/>
              </w:rPr>
              <w:t>为落实公共场馆设施运维管理规范，保障常州经开区文化中心供冷供热核心系统全年稳定运行，防范机组故障造成场馆服务中断风险、降低设备能耗、延长机组使用寿命，现拟对在用2台特灵螺杆式水源热泵机组开展定期专项保养服务。</w:t>
            </w:r>
          </w:p>
        </w:tc>
      </w:tr>
    </w:tbl>
    <w:p w14:paraId="5FD2553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本项目共分2个采购包，供应商可兼投兼中。</w:t>
      </w:r>
    </w:p>
    <w:p w14:paraId="3E2DE190">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w:t>
      </w:r>
      <w:r>
        <w:rPr>
          <w:rFonts w:hint="eastAsia" w:ascii="仿宋" w:hAnsi="仿宋" w:eastAsia="仿宋"/>
          <w:color w:val="auto"/>
          <w:sz w:val="32"/>
          <w:szCs w:val="32"/>
          <w:highlight w:val="none"/>
          <w:lang w:val="en-US" w:eastAsia="zh-CN"/>
        </w:rPr>
        <w:t>合同签订之日起一年</w:t>
      </w:r>
      <w:r>
        <w:rPr>
          <w:rFonts w:hint="eastAsia" w:ascii="仿宋" w:hAnsi="仿宋" w:eastAsia="仿宋"/>
          <w:color w:val="auto"/>
          <w:sz w:val="32"/>
          <w:szCs w:val="32"/>
          <w:highlight w:val="none"/>
        </w:rPr>
        <w:t>。</w:t>
      </w:r>
    </w:p>
    <w:p w14:paraId="59C71B1D">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w:t>
      </w:r>
      <w:r>
        <w:rPr>
          <w:rFonts w:hint="eastAsia" w:ascii="仿宋" w:hAnsi="仿宋" w:eastAsia="仿宋"/>
          <w:color w:val="auto"/>
          <w:sz w:val="32"/>
          <w:szCs w:val="32"/>
          <w:highlight w:val="none"/>
        </w:rPr>
        <w:t>项目不接受联</w:t>
      </w:r>
      <w:r>
        <w:rPr>
          <w:rFonts w:hint="eastAsia" w:ascii="仿宋" w:hAnsi="仿宋" w:eastAsia="仿宋"/>
          <w:color w:val="auto"/>
          <w:sz w:val="32"/>
          <w:szCs w:val="32"/>
          <w:highlight w:val="none"/>
        </w:rPr>
        <w:t>合体。</w:t>
      </w:r>
    </w:p>
    <w:p w14:paraId="1F09F9D8">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3DC250C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rPr>
        <w:t>在中华人民共和国境内注册，</w:t>
      </w:r>
      <w:r>
        <w:rPr>
          <w:rFonts w:hint="eastAsia" w:ascii="仿宋" w:hAnsi="仿宋" w:eastAsia="仿宋" w:cs="宋体"/>
          <w:color w:val="auto"/>
          <w:sz w:val="32"/>
          <w:szCs w:val="32"/>
          <w:highlight w:val="none"/>
        </w:rPr>
        <w:t xml:space="preserve">具有独立承担民事责任的能力； </w:t>
      </w:r>
    </w:p>
    <w:p w14:paraId="6A401BC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044578F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59DFBCE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4.有依法缴纳税收和社</w:t>
      </w:r>
      <w:bookmarkStart w:id="1" w:name="_GoBack"/>
      <w:bookmarkEnd w:id="1"/>
      <w:r>
        <w:rPr>
          <w:rFonts w:hint="eastAsia" w:ascii="仿宋" w:hAnsi="仿宋" w:eastAsia="仿宋" w:cs="宋体"/>
          <w:color w:val="auto"/>
          <w:sz w:val="32"/>
          <w:szCs w:val="32"/>
          <w:highlight w:val="none"/>
        </w:rPr>
        <w:t xml:space="preserve">会保障资金的良好记录； </w:t>
      </w:r>
    </w:p>
    <w:p w14:paraId="6E5E154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4A83067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5FD6F3D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2CC5CB28">
      <w:pPr>
        <w:spacing w:line="600" w:lineRule="exact"/>
        <w:ind w:firstLine="640" w:firstLineChars="200"/>
        <w:rPr>
          <w:rFonts w:hint="eastAsia" w:ascii="仿宋" w:hAnsi="仿宋" w:eastAsia="仿宋" w:cs="宋体"/>
          <w:bCs/>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0424773C">
      <w:pPr>
        <w:spacing w:line="600" w:lineRule="exact"/>
        <w:ind w:firstLine="643" w:firstLineChars="200"/>
        <w:rPr>
          <w:rFonts w:hint="default" w:ascii="仿宋" w:hAnsi="仿宋" w:eastAsia="仿宋" w:cs="宋体"/>
          <w:b/>
          <w:color w:val="auto"/>
          <w:sz w:val="32"/>
          <w:szCs w:val="32"/>
          <w:highlight w:val="none"/>
          <w:lang w:val="en-US" w:eastAsia="zh-CN"/>
        </w:rPr>
      </w:pPr>
      <w:r>
        <w:rPr>
          <w:rFonts w:hint="eastAsia" w:ascii="仿宋" w:hAnsi="仿宋" w:eastAsia="仿宋" w:cs="宋体"/>
          <w:b/>
          <w:color w:val="auto"/>
          <w:sz w:val="32"/>
          <w:szCs w:val="32"/>
          <w:highlight w:val="none"/>
          <w:lang w:val="en-US" w:eastAsia="zh-CN"/>
        </w:rPr>
        <w:t>9.其他特定要求：供应商具有有效期内的空调维修资质证书及安全生产合格证。</w:t>
      </w:r>
    </w:p>
    <w:p w14:paraId="79235903">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400612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1.时间</w:t>
      </w:r>
      <w:r>
        <w:rPr>
          <w:rFonts w:hint="eastAsia" w:ascii="仿宋" w:hAnsi="仿宋" w:eastAsia="仿宋" w:cs="宋体"/>
          <w:color w:val="auto"/>
          <w:sz w:val="32"/>
          <w:szCs w:val="32"/>
          <w:highlight w:val="none"/>
        </w:rPr>
        <w:t>：</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lang w:val="en-US" w:eastAsia="zh-CN"/>
        </w:rPr>
        <w:t>26</w:t>
      </w:r>
      <w:r>
        <w:rPr>
          <w:rFonts w:hint="eastAsia" w:ascii="仿宋" w:hAnsi="仿宋" w:eastAsia="仿宋" w:cs="宋体"/>
          <w:bCs/>
          <w:color w:val="auto"/>
          <w:kern w:val="0"/>
          <w:sz w:val="32"/>
          <w:szCs w:val="32"/>
          <w:highlight w:val="none"/>
        </w:rPr>
        <w:t>年</w:t>
      </w:r>
      <w:r>
        <w:rPr>
          <w:rFonts w:hint="eastAsia" w:ascii="仿宋" w:hAnsi="仿宋" w:eastAsia="仿宋" w:cs="宋体"/>
          <w:bCs/>
          <w:color w:val="auto"/>
          <w:kern w:val="0"/>
          <w:sz w:val="32"/>
          <w:szCs w:val="32"/>
          <w:highlight w:val="none"/>
          <w:lang w:val="en-US" w:eastAsia="zh-CN"/>
        </w:rPr>
        <w:t>04</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13</w:t>
      </w:r>
      <w:r>
        <w:rPr>
          <w:rFonts w:hint="eastAsia" w:ascii="仿宋" w:hAnsi="仿宋" w:eastAsia="仿宋" w:cs="宋体"/>
          <w:bCs/>
          <w:color w:val="auto"/>
          <w:kern w:val="0"/>
          <w:sz w:val="32"/>
          <w:szCs w:val="32"/>
          <w:highlight w:val="none"/>
        </w:rPr>
        <w:t>日至</w:t>
      </w:r>
      <w:r>
        <w:rPr>
          <w:rFonts w:hint="eastAsia" w:ascii="仿宋" w:hAnsi="仿宋" w:eastAsia="仿宋" w:cs="宋体"/>
          <w:bCs/>
          <w:color w:val="auto"/>
          <w:kern w:val="0"/>
          <w:sz w:val="32"/>
          <w:szCs w:val="32"/>
          <w:highlight w:val="none"/>
          <w:lang w:val="en-US" w:eastAsia="zh-CN"/>
        </w:rPr>
        <w:t>04</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16</w:t>
      </w:r>
      <w:r>
        <w:rPr>
          <w:rFonts w:hint="eastAsia" w:ascii="仿宋" w:hAnsi="仿宋" w:eastAsia="仿宋" w:cs="宋体"/>
          <w:bCs/>
          <w:color w:val="auto"/>
          <w:kern w:val="0"/>
          <w:sz w:val="32"/>
          <w:szCs w:val="32"/>
          <w:highlight w:val="none"/>
        </w:rPr>
        <w:t>日，</w:t>
      </w:r>
      <w:r>
        <w:rPr>
          <w:rFonts w:hint="eastAsia" w:ascii="仿宋" w:hAnsi="仿宋" w:eastAsia="仿宋" w:cs="宋体"/>
          <w:color w:val="auto"/>
          <w:sz w:val="32"/>
          <w:szCs w:val="32"/>
          <w:highlight w:val="none"/>
        </w:rPr>
        <w:t>每天上午8:30至1</w:t>
      </w:r>
      <w:r>
        <w:rPr>
          <w:rFonts w:ascii="仿宋" w:hAnsi="仿宋" w:eastAsia="仿宋" w:cs="宋体"/>
          <w:color w:val="auto"/>
          <w:sz w:val="32"/>
          <w:szCs w:val="32"/>
          <w:highlight w:val="none"/>
        </w:rPr>
        <w:t>1</w:t>
      </w:r>
      <w:r>
        <w:rPr>
          <w:rFonts w:hint="eastAsia" w:ascii="仿宋" w:hAnsi="仿宋" w:eastAsia="仿宋" w:cs="宋体"/>
          <w:color w:val="auto"/>
          <w:sz w:val="32"/>
          <w:szCs w:val="32"/>
          <w:highlight w:val="none"/>
        </w:rPr>
        <w:t>:30，下午1:30至5:30（北京时间，法定节假日除外）</w:t>
      </w:r>
    </w:p>
    <w:p w14:paraId="64AC2DFF">
      <w:pPr>
        <w:spacing w:line="600" w:lineRule="exact"/>
        <w:ind w:firstLine="640" w:firstLineChars="200"/>
        <w:rPr>
          <w:rFonts w:ascii="仿宋" w:hAnsi="仿宋" w:eastAsia="仿宋"/>
          <w:color w:val="auto"/>
          <w:sz w:val="32"/>
          <w:szCs w:val="32"/>
          <w:highlight w:val="none"/>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w:t>
      </w:r>
      <w:r>
        <w:rPr>
          <w:rFonts w:hint="eastAsia" w:ascii="仿宋" w:hAnsi="仿宋" w:eastAsia="仿宋" w:cs="宋体"/>
          <w:color w:val="auto"/>
          <w:kern w:val="0"/>
          <w:sz w:val="32"/>
          <w:szCs w:val="32"/>
          <w:highlight w:val="none"/>
        </w:rPr>
        <w:t>常州市城投建设工程招标有限公司（常州市新北区通江中路396号中创大厦4楼）</w:t>
      </w:r>
      <w:r>
        <w:rPr>
          <w:rFonts w:ascii="仿宋" w:hAnsi="仿宋" w:eastAsia="仿宋"/>
          <w:color w:val="auto"/>
          <w:sz w:val="32"/>
          <w:szCs w:val="32"/>
          <w:highlight w:val="none"/>
        </w:rPr>
        <w:t xml:space="preserve"> </w:t>
      </w:r>
    </w:p>
    <w:p w14:paraId="532D6E52">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color w:val="auto"/>
          <w:sz w:val="32"/>
          <w:szCs w:val="32"/>
          <w:highlight w:val="none"/>
        </w:rPr>
        <w:t>3.方式：</w:t>
      </w:r>
    </w:p>
    <w:p w14:paraId="7CA86ED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①现金现场缴纳;②扫描常州市城投建设工程招标有限公司付款码并备注单位名称;③银行电汇或转账至常州市城投建设工程招标有限公司账户。咨询电话</w:t>
      </w:r>
      <w:r>
        <w:rPr>
          <w:rFonts w:hint="eastAsia" w:ascii="仿宋" w:hAnsi="仿宋" w:eastAsia="仿宋" w:cs="宋体"/>
          <w:color w:val="auto"/>
          <w:sz w:val="32"/>
          <w:szCs w:val="32"/>
          <w:highlight w:val="none"/>
        </w:rPr>
        <w:t>：0519-81580101。</w:t>
      </w:r>
    </w:p>
    <w:p w14:paraId="7A119AB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收款单位：常州市城投建设工程招标有限公司</w:t>
      </w:r>
    </w:p>
    <w:p w14:paraId="3F91F3E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开户银行：中国建设银行常州大成苑支行</w:t>
      </w:r>
    </w:p>
    <w:p w14:paraId="5057B85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银行账号：32001624236052500905</w:t>
      </w:r>
    </w:p>
    <w:p w14:paraId="2FCBA116">
      <w:pPr>
        <w:spacing w:line="600" w:lineRule="exact"/>
        <w:ind w:firstLine="640" w:firstLineChars="200"/>
        <w:rPr>
          <w:rFonts w:ascii="仿宋" w:hAnsi="仿宋" w:eastAsia="仿宋" w:cs="宋体"/>
          <w:bCs/>
          <w:color w:val="auto"/>
          <w:sz w:val="32"/>
          <w:szCs w:val="32"/>
          <w:highlight w:val="none"/>
        </w:rPr>
      </w:pPr>
      <w:r>
        <w:rPr>
          <w:rFonts w:ascii="仿宋" w:hAnsi="仿宋" w:eastAsia="仿宋" w:cs="宋体"/>
          <w:color w:val="auto"/>
          <w:sz w:val="32"/>
          <w:szCs w:val="32"/>
          <w:highlight w:val="none"/>
        </w:rPr>
        <w:t>4.</w:t>
      </w:r>
      <w:r>
        <w:rPr>
          <w:rFonts w:hint="eastAsia" w:ascii="仿宋" w:hAnsi="仿宋" w:eastAsia="仿宋" w:cs="宋体"/>
          <w:color w:val="auto"/>
          <w:sz w:val="32"/>
          <w:szCs w:val="32"/>
          <w:highlight w:val="none"/>
        </w:rPr>
        <w:t>售价：</w:t>
      </w:r>
      <w:r>
        <w:rPr>
          <w:rFonts w:hint="eastAsia" w:ascii="仿宋" w:hAnsi="仿宋" w:eastAsia="仿宋" w:cs="宋体"/>
          <w:color w:val="auto"/>
          <w:kern w:val="0"/>
          <w:sz w:val="32"/>
          <w:szCs w:val="32"/>
          <w:highlight w:val="none"/>
        </w:rPr>
        <w:t>人民币壹佰元整</w:t>
      </w:r>
    </w:p>
    <w:p w14:paraId="498B82B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w:t>
      </w:r>
      <w:r>
        <w:rPr>
          <w:rFonts w:hint="eastAsia" w:ascii="仿宋" w:hAnsi="仿宋" w:eastAsia="仿宋"/>
          <w:b/>
          <w:color w:val="auto"/>
          <w:sz w:val="32"/>
          <w:szCs w:val="32"/>
          <w:highlight w:val="none"/>
        </w:rPr>
        <w:t>件提交</w:t>
      </w:r>
    </w:p>
    <w:p w14:paraId="3B9F8B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05546FFD">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12743C3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57389B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67781F1C">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219CD66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0C6DD52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0C4CAF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2F87AA16">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1.现场踏勘及标前答疑</w:t>
      </w:r>
    </w:p>
    <w:p w14:paraId="112C314F">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（1）供应商</w:t>
      </w:r>
      <w:r>
        <w:rPr>
          <w:rFonts w:ascii="仿宋" w:hAnsi="仿宋" w:eastAsia="仿宋"/>
          <w:bCs/>
          <w:color w:val="auto"/>
          <w:sz w:val="32"/>
          <w:szCs w:val="32"/>
          <w:highlight w:val="none"/>
        </w:rPr>
        <w:t>自行踏勘</w:t>
      </w:r>
      <w:r>
        <w:rPr>
          <w:rFonts w:hint="eastAsia" w:ascii="仿宋" w:hAnsi="仿宋" w:eastAsia="仿宋"/>
          <w:bCs/>
          <w:color w:val="auto"/>
          <w:sz w:val="32"/>
          <w:szCs w:val="32"/>
          <w:highlight w:val="none"/>
        </w:rPr>
        <w:t>现场。</w:t>
      </w:r>
    </w:p>
    <w:p w14:paraId="2A1A7555">
      <w:pPr>
        <w:spacing w:line="600" w:lineRule="exact"/>
        <w:ind w:firstLine="640" w:firstLineChars="200"/>
        <w:rPr>
          <w:rFonts w:ascii="仿宋" w:hAnsi="仿宋" w:eastAsia="仿宋"/>
          <w:color w:val="auto"/>
          <w:sz w:val="32"/>
          <w:szCs w:val="32"/>
          <w:highlight w:val="none"/>
        </w:rPr>
      </w:pPr>
      <w:r>
        <w:rPr>
          <w:rFonts w:hint="eastAsia" w:ascii="仿宋" w:hAnsi="仿宋" w:eastAsia="仿宋"/>
          <w:bCs/>
          <w:color w:val="auto"/>
          <w:sz w:val="32"/>
          <w:szCs w:val="32"/>
          <w:highlight w:val="none"/>
        </w:rPr>
        <w:t>（2）</w:t>
      </w:r>
      <w:r>
        <w:rPr>
          <w:rFonts w:ascii="仿宋" w:hAnsi="仿宋" w:eastAsia="仿宋" w:cs="宋体"/>
          <w:color w:val="auto"/>
          <w:sz w:val="32"/>
          <w:szCs w:val="32"/>
          <w:highlight w:val="none"/>
        </w:rPr>
        <w:t>标前答疑</w:t>
      </w:r>
    </w:p>
    <w:p w14:paraId="795CDEF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供应商对询价文件如有疑问，请将疑问于</w:t>
      </w:r>
      <w:r>
        <w:rPr>
          <w:rFonts w:hint="eastAsia" w:ascii="仿宋" w:hAnsi="仿宋" w:eastAsia="仿宋"/>
          <w:color w:val="auto"/>
          <w:sz w:val="32"/>
          <w:szCs w:val="32"/>
          <w:highlight w:val="none"/>
        </w:rPr>
        <w:t>响应文件提交截止期2日前</w:t>
      </w:r>
      <w:r>
        <w:rPr>
          <w:rFonts w:hint="eastAsia" w:ascii="仿宋" w:hAnsi="仿宋" w:eastAsia="仿宋" w:cs="宋体"/>
          <w:color w:val="auto"/>
          <w:sz w:val="32"/>
          <w:szCs w:val="32"/>
          <w:highlight w:val="none"/>
        </w:rPr>
        <w:t>以书面形式提交或传真至常州市城投建设工程招标有限公司。传真:0519-81580105，</w:t>
      </w:r>
      <w:r>
        <w:rPr>
          <w:rFonts w:ascii="仿宋" w:hAnsi="仿宋" w:eastAsia="仿宋" w:cs="宋体"/>
          <w:color w:val="auto"/>
          <w:sz w:val="32"/>
          <w:szCs w:val="32"/>
          <w:highlight w:val="none"/>
        </w:rPr>
        <w:t>邮箱：</w:t>
      </w:r>
      <w:r>
        <w:rPr>
          <w:rFonts w:hint="eastAsia" w:ascii="仿宋" w:hAnsi="仿宋" w:eastAsia="仿宋" w:cs="宋体"/>
          <w:color w:val="auto"/>
          <w:sz w:val="32"/>
          <w:szCs w:val="32"/>
          <w:highlight w:val="none"/>
        </w:rPr>
        <w:t>c</w:t>
      </w:r>
      <w:r>
        <w:rPr>
          <w:rFonts w:hint="eastAsia" w:ascii="仿宋" w:hAnsi="仿宋" w:eastAsia="仿宋" w:cs="宋体"/>
          <w:color w:val="auto"/>
          <w:sz w:val="32"/>
          <w:szCs w:val="32"/>
          <w:highlight w:val="none"/>
        </w:rPr>
        <w:t>zctzb@163.com</w:t>
      </w:r>
    </w:p>
    <w:p w14:paraId="374A522C">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2.询价文件售后一概不退。供应商提交的询价响应文件概不退还。一经领购，供应商不得更改单位名称。</w:t>
      </w:r>
    </w:p>
    <w:p w14:paraId="5F397B4A">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w:t>
      </w:r>
      <w:r>
        <w:rPr>
          <w:rFonts w:hint="eastAsia" w:ascii="仿宋" w:hAnsi="仿宋" w:eastAsia="仿宋"/>
          <w:b/>
          <w:color w:val="auto"/>
          <w:sz w:val="32"/>
          <w:szCs w:val="32"/>
          <w:highlight w:val="none"/>
        </w:rPr>
        <w:t>凡对本次采购提出询问，请按以下方式联系。</w:t>
      </w:r>
    </w:p>
    <w:p w14:paraId="69F92C1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4A864B15">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名    称：江苏常州经济开发区公共文化服务中心　　　　　　　　　　　　</w:t>
      </w:r>
    </w:p>
    <w:p w14:paraId="78ABB9E5">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地    址：</w:t>
      </w:r>
      <w:r>
        <w:rPr>
          <w:rFonts w:hint="eastAsia" w:ascii="仿宋" w:hAnsi="仿宋" w:eastAsia="仿宋"/>
          <w:color w:val="auto"/>
          <w:sz w:val="32"/>
          <w:szCs w:val="32"/>
          <w:highlight w:val="none"/>
          <w:lang w:val="en-US" w:eastAsia="zh-CN"/>
        </w:rPr>
        <w:t>江苏省常州经开区潞城街道常青路555号</w:t>
      </w:r>
    </w:p>
    <w:p w14:paraId="738D59D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联系方式：蒋玉皎　0519-89863725　　　　　　 　　　 </w:t>
      </w:r>
    </w:p>
    <w:p w14:paraId="08E7442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3AC8D3F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0013FE7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7E5D7B9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5A8B353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777C9F3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魏海玲</w:t>
      </w:r>
    </w:p>
    <w:p w14:paraId="6BE73D1F">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6033</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399EB235">
      <w:pPr>
        <w:pStyle w:val="5"/>
        <w:rPr>
          <w:color w:val="auto"/>
          <w:highlight w:val="none"/>
        </w:rPr>
      </w:pPr>
    </w:p>
    <w:p w14:paraId="53382120">
      <w:pPr>
        <w:rPr>
          <w:color w:val="auto"/>
          <w:highlight w:val="none"/>
        </w:rPr>
      </w:pPr>
    </w:p>
    <w:p w14:paraId="0CE33296">
      <w:pPr>
        <w:rPr>
          <w:color w:val="auto"/>
          <w:highlight w:val="none"/>
        </w:rPr>
      </w:pPr>
    </w:p>
    <w:p w14:paraId="0DF71253">
      <w:pPr>
        <w:rPr>
          <w:color w:val="auto"/>
          <w:highlight w:val="none"/>
        </w:rPr>
      </w:pPr>
    </w:p>
    <w:p w14:paraId="4D433BE7">
      <w:pPr>
        <w:rPr>
          <w:color w:val="auto"/>
          <w:highlight w:val="none"/>
        </w:rPr>
      </w:pPr>
    </w:p>
    <w:p w14:paraId="2C46B834">
      <w:pPr>
        <w:rPr>
          <w:color w:val="auto"/>
          <w:highlight w:val="none"/>
        </w:rPr>
      </w:pPr>
    </w:p>
    <w:p w14:paraId="627F51A7">
      <w:pPr>
        <w:rPr>
          <w:color w:val="auto"/>
          <w:highlight w:val="none"/>
        </w:rPr>
      </w:pPr>
    </w:p>
    <w:p w14:paraId="09AF7058">
      <w:pPr>
        <w:rPr>
          <w:color w:val="auto"/>
          <w:highlight w:val="none"/>
        </w:rPr>
      </w:pPr>
    </w:p>
    <w:p w14:paraId="558F55B7">
      <w:pPr>
        <w:rPr>
          <w:color w:val="auto"/>
          <w:highlight w:val="none"/>
        </w:rPr>
      </w:pPr>
    </w:p>
    <w:p w14:paraId="03313396">
      <w:pPr>
        <w:pStyle w:val="11"/>
        <w:spacing w:line="340" w:lineRule="exact"/>
        <w:rPr>
          <w:b/>
          <w:bCs/>
          <w:color w:val="auto"/>
          <w:highlight w:val="none"/>
        </w:rPr>
      </w:pPr>
    </w:p>
    <w:p w14:paraId="503CA39F">
      <w:pPr>
        <w:pStyle w:val="11"/>
        <w:spacing w:line="340" w:lineRule="exact"/>
        <w:jc w:val="center"/>
        <w:rPr>
          <w:b/>
          <w:bCs/>
          <w:color w:val="auto"/>
          <w:highlight w:val="none"/>
        </w:rPr>
      </w:pPr>
      <w:r>
        <w:rPr>
          <w:b/>
          <w:bCs/>
          <w:color w:val="auto"/>
          <w:highlight w:val="none"/>
        </w:rPr>
        <w:br w:type="page"/>
      </w:r>
    </w:p>
    <w:p w14:paraId="7BD2B68D">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常州经开区文化活动中心中央空调水处理及主机保养服务询价通知书</w:t>
      </w:r>
    </w:p>
    <w:p w14:paraId="773F697C">
      <w:pPr>
        <w:widowControl/>
        <w:snapToGrid w:val="0"/>
        <w:spacing w:line="360" w:lineRule="exact"/>
        <w:ind w:firstLine="420" w:firstLineChars="200"/>
        <w:jc w:val="left"/>
        <w:rPr>
          <w:color w:val="auto"/>
          <w:highlight w:val="none"/>
        </w:rPr>
      </w:pPr>
      <w:r>
        <w:rPr>
          <w:rFonts w:hint="eastAsia" w:cs="宋体" w:asciiTheme="minorEastAsia" w:hAnsiTheme="minorEastAsia" w:eastAsiaTheme="minorEastAsia"/>
          <w:color w:val="auto"/>
          <w:szCs w:val="21"/>
          <w:highlight w:val="none"/>
        </w:rPr>
        <w:t>常州市城投建设工程招标有限公司受江苏常州经济开发区公共文化服务中心委托</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现就其常州经开区文化活动中心中央空调水处理及主机保养服务进行</w:t>
      </w:r>
      <w:r>
        <w:rPr>
          <w:rFonts w:hint="eastAsia" w:asciiTheme="minorEastAsia" w:hAnsiTheme="minorEastAsia" w:eastAsiaTheme="minorEastAsia"/>
          <w:color w:val="auto"/>
          <w:szCs w:val="21"/>
          <w:highlight w:val="none"/>
        </w:rPr>
        <w:t>询价</w:t>
      </w:r>
      <w:r>
        <w:rPr>
          <w:rFonts w:hint="eastAsia" w:asciiTheme="minorEastAsia" w:hAnsiTheme="minorEastAsia" w:eastAsiaTheme="minorEastAsia"/>
          <w:color w:val="auto"/>
          <w:szCs w:val="21"/>
          <w:highlight w:val="none"/>
        </w:rPr>
        <w:t>采购，</w:t>
      </w:r>
      <w:r>
        <w:rPr>
          <w:rFonts w:hint="eastAsia"/>
          <w:color w:val="auto"/>
          <w:highlight w:val="none"/>
        </w:rPr>
        <w:t>特邀请符合条件的供应商参加。</w:t>
      </w:r>
    </w:p>
    <w:p w14:paraId="46C0F501">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采购包1：水处理</w:t>
      </w:r>
    </w:p>
    <w:p w14:paraId="0F0A7A13">
      <w:pPr>
        <w:ind w:firstLine="422" w:firstLineChars="200"/>
        <w:outlineLvl w:val="1"/>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一、</w:t>
      </w:r>
      <w:r>
        <w:rPr>
          <w:rFonts w:hint="eastAsia" w:ascii="宋体" w:hAnsi="宋体" w:cs="宋体"/>
          <w:b/>
          <w:color w:val="auto"/>
          <w:kern w:val="0"/>
          <w:szCs w:val="21"/>
          <w:highlight w:val="none"/>
          <w:lang w:val="en-US" w:eastAsia="zh-CN"/>
        </w:rPr>
        <w:t>项目背景</w:t>
      </w:r>
    </w:p>
    <w:p w14:paraId="5967410A">
      <w:pPr>
        <w:widowControl/>
        <w:snapToGrid w:val="0"/>
        <w:spacing w:line="360" w:lineRule="exact"/>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常州经开区文化活动中心作为公众参与展览、演出、会议等活动的核心场所，其人流量大、空间密闭性强、使用频率高等特点决定了其内部环境必须维持在一个舒适且健康的状态，中央空调系统是其维持舒适环境的关键设施。中央空调系统在运作过程中，其水系统往往会积累水垢、生锈、藻类等杂质。这些杂质若不及时清除，会对系统的性能和寿命产生严重影响，甚至可能通过空气循环进入室内环境，对人们的健康造成潜在威胁。因此，中央空调水处理不仅是保障系统高效稳定运行的需要，更是保障室内空气质量、维护健康的重要措施。</w:t>
      </w:r>
    </w:p>
    <w:p w14:paraId="09D8CE1B">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二、项目目标</w:t>
      </w:r>
    </w:p>
    <w:p w14:paraId="74C47361">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rPr>
      </w:pPr>
      <w:r>
        <w:rPr>
          <w:rFonts w:hint="default" w:cs="宋体" w:asciiTheme="minorEastAsia" w:hAnsiTheme="minorEastAsia" w:eastAsiaTheme="minorEastAsia"/>
          <w:color w:val="auto"/>
          <w:szCs w:val="21"/>
          <w:highlight w:val="none"/>
        </w:rPr>
        <w:t>1.减少空气传播疾病风险，营造安全环境。</w:t>
      </w:r>
    </w:p>
    <w:p w14:paraId="0FCB83CF">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rPr>
      </w:pPr>
      <w:r>
        <w:rPr>
          <w:rFonts w:hint="default" w:cs="宋体" w:asciiTheme="minorEastAsia" w:hAnsiTheme="minorEastAsia" w:eastAsiaTheme="minorEastAsia"/>
          <w:color w:val="auto"/>
          <w:szCs w:val="21"/>
          <w:highlight w:val="none"/>
        </w:rPr>
        <w:t>2.恢复空调性能，降低能耗，减少运营开支。</w:t>
      </w:r>
    </w:p>
    <w:p w14:paraId="0133268D">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rPr>
      </w:pPr>
      <w:r>
        <w:rPr>
          <w:rFonts w:hint="default" w:cs="宋体" w:asciiTheme="minorEastAsia" w:hAnsiTheme="minorEastAsia" w:eastAsiaTheme="minorEastAsia"/>
          <w:color w:val="auto"/>
          <w:szCs w:val="21"/>
          <w:highlight w:val="none"/>
        </w:rPr>
        <w:t>3.建立定期清洗机制，延长设备使用寿命。</w:t>
      </w:r>
    </w:p>
    <w:p w14:paraId="7E3FF7CF">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default" w:cs="宋体" w:asciiTheme="minorEastAsia" w:hAnsiTheme="minorEastAsia" w:eastAsiaTheme="minorEastAsia"/>
          <w:color w:val="auto"/>
          <w:szCs w:val="21"/>
          <w:highlight w:val="none"/>
          <w:lang w:val="en-US" w:eastAsia="zh-CN"/>
        </w:rPr>
        <w:t>4.</w:t>
      </w:r>
      <w:r>
        <w:rPr>
          <w:rFonts w:hint="default" w:cs="宋体" w:asciiTheme="minorEastAsia" w:hAnsiTheme="minorEastAsia" w:eastAsiaTheme="minorEastAsia"/>
          <w:color w:val="auto"/>
          <w:szCs w:val="21"/>
          <w:highlight w:val="none"/>
        </w:rPr>
        <w:t>提升公众满意度，树立绿色、健康的公共服务标杆</w:t>
      </w:r>
      <w:r>
        <w:rPr>
          <w:rFonts w:hint="default" w:cs="宋体" w:asciiTheme="minorEastAsia" w:hAnsiTheme="minorEastAsia" w:eastAsiaTheme="minorEastAsia"/>
          <w:color w:val="auto"/>
          <w:szCs w:val="21"/>
          <w:highlight w:val="none"/>
          <w:lang w:eastAsia="zh-CN"/>
        </w:rPr>
        <w:t>。</w:t>
      </w:r>
    </w:p>
    <w:p w14:paraId="06D6D8E7">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三、项目范围</w:t>
      </w:r>
    </w:p>
    <w:p w14:paraId="72BADDCE">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rPr>
      </w:pPr>
      <w:r>
        <w:rPr>
          <w:rFonts w:hint="default" w:cs="宋体" w:asciiTheme="minorEastAsia" w:hAnsiTheme="minorEastAsia" w:eastAsiaTheme="minorEastAsia"/>
          <w:color w:val="auto"/>
          <w:szCs w:val="21"/>
          <w:highlight w:val="none"/>
          <w:lang w:val="en-US" w:eastAsia="zh-CN"/>
        </w:rPr>
        <w:t>1.对外场冷却塔管道及箱体进行停机冲洗。</w:t>
      </w:r>
    </w:p>
    <w:p w14:paraId="3AA62E6C">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2.对离心机蒸发器进行清洗。</w:t>
      </w:r>
    </w:p>
    <w:p w14:paraId="28B21413">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3.对清洗后的管道进行预膜。</w:t>
      </w:r>
    </w:p>
    <w:p w14:paraId="5144B1F0">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default" w:cs="宋体" w:asciiTheme="minorEastAsia" w:hAnsiTheme="minorEastAsia" w:eastAsiaTheme="minorEastAsia"/>
          <w:color w:val="auto"/>
          <w:szCs w:val="21"/>
          <w:highlight w:val="none"/>
          <w:lang w:val="en-US" w:eastAsia="zh-CN"/>
        </w:rPr>
        <w:t>4.对冷水机房内的水处理设备按计划进行加药。</w:t>
      </w:r>
    </w:p>
    <w:p w14:paraId="4E758CED">
      <w:pPr>
        <w:ind w:firstLine="422" w:firstLineChars="200"/>
        <w:outlineLvl w:val="1"/>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四、系统选型与配置</w:t>
      </w:r>
    </w:p>
    <w:p w14:paraId="6032576E">
      <w:pPr>
        <w:widowControl/>
        <w:snapToGrid w:val="0"/>
        <w:spacing w:line="360" w:lineRule="exact"/>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1.化学清洗：包括停机酸洗/碱洗和清洗效果评估。</w:t>
      </w:r>
    </w:p>
    <w:p w14:paraId="6BB4C7C9">
      <w:pPr>
        <w:widowControl/>
        <w:snapToGrid w:val="0"/>
        <w:spacing w:line="360" w:lineRule="exact"/>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2.预膜处理：在清洗后的管道内壁形成保护膜。</w:t>
      </w:r>
    </w:p>
    <w:p w14:paraId="2C943119">
      <w:pPr>
        <w:widowControl/>
        <w:snapToGrid w:val="0"/>
        <w:spacing w:line="360" w:lineRule="exact"/>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3.日常水处理：每月定时加药、水质监测和定期人工检测与数据分析。</w:t>
      </w:r>
    </w:p>
    <w:p w14:paraId="3426D802">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eastAsia" w:cs="宋体" w:asciiTheme="minorEastAsia" w:hAnsiTheme="minorEastAsia" w:eastAsiaTheme="minorEastAsia"/>
          <w:color w:val="auto"/>
          <w:szCs w:val="21"/>
          <w:highlight w:val="none"/>
          <w:lang w:val="en-US" w:eastAsia="zh-CN"/>
        </w:rPr>
        <w:t>4.运维支持：水质异常预警及应急处理方案、物业人员日常监测培训。</w:t>
      </w:r>
    </w:p>
    <w:p w14:paraId="4D5F3F2A">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五、项目实施计划</w:t>
      </w:r>
    </w:p>
    <w:p w14:paraId="40824FCB">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1.需求分析、实施计划、物资准备阶段（耗时一周）。</w:t>
      </w:r>
    </w:p>
    <w:p w14:paraId="517D82C5">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与物业管理人员沟通，了解系统现状和需求。制定详细的项目实施计划和时间表。准备所需的化学药剂和设备。</w:t>
      </w:r>
    </w:p>
    <w:p w14:paraId="0067D113">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2.化学清洗阶段（耗时一至二周）。</w:t>
      </w:r>
    </w:p>
    <w:p w14:paraId="6805A3C8">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根据垢质成分选择合适的酸洗或碱洗方案。停机进行清洗作业，确保清洗彻底且不对设备造成损害。</w:t>
      </w:r>
      <w:r>
        <w:rPr>
          <w:rFonts w:hint="default" w:cs="宋体" w:asciiTheme="minorEastAsia" w:hAnsiTheme="minorEastAsia" w:eastAsiaTheme="minorEastAsia"/>
          <w:color w:val="auto"/>
          <w:szCs w:val="21"/>
          <w:highlight w:val="none"/>
          <w:lang w:val="en-US" w:eastAsia="en-US"/>
        </w:rPr>
        <w:t>敞开式冷却系统药剂直接从冷却塔加入，然后开泵进行循环清洗</w:t>
      </w:r>
      <w:r>
        <w:rPr>
          <w:rFonts w:hint="default" w:cs="宋体" w:asciiTheme="minorEastAsia" w:hAnsiTheme="minorEastAsia" w:eastAsiaTheme="minorEastAsia"/>
          <w:color w:val="auto"/>
          <w:szCs w:val="21"/>
          <w:highlight w:val="none"/>
          <w:lang w:val="en-US" w:eastAsia="zh-CN"/>
        </w:rPr>
        <w:t>。在清洗过程中，实时监测水质变化，调整清洗方案。清洗完成后，对系统进行检查，确保老垢和生物粘泥已被有效去除。</w:t>
      </w:r>
    </w:p>
    <w:p w14:paraId="5FC3BF60">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3.预膜处理阶段（耗时一周）。</w:t>
      </w:r>
    </w:p>
    <w:p w14:paraId="241F93FD">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采用专业的预膜剂，按照既定工艺进行预膜处理。确保保护膜均匀、致密，减缓未来垢质的形成速度。对预膜效果进行评估，确保达到预期目标。</w:t>
      </w:r>
    </w:p>
    <w:p w14:paraId="75A3794B">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4.日常水处理（耗时两周）。</w:t>
      </w:r>
    </w:p>
    <w:p w14:paraId="4ECBA603">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添加缓蚀剂、阻垢剂、杀菌剂等。</w:t>
      </w:r>
    </w:p>
    <w:p w14:paraId="296617AA">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5.日常水质监测与维护阶段（第7周起，持续进行）。</w:t>
      </w:r>
    </w:p>
    <w:p w14:paraId="4DDF7537">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实时监测水质指标，包括pH值、电导率、浊度、微生物等。根据监测结果，自动调整加药量，实现精准控制。供暖季、供冷季共计投药10个月，每月进行一次人工检测，对水质进行全面评估。每季度出具常州市疾控中心水质检测报告，每月出具水质自检报告。</w:t>
      </w:r>
    </w:p>
    <w:p w14:paraId="68CCBFC6">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bCs/>
          <w:color w:val="auto"/>
          <w:szCs w:val="21"/>
          <w:highlight w:val="none"/>
          <w:lang w:val="en-US" w:eastAsia="zh-CN"/>
        </w:rPr>
        <w:t>6.运维支持与操作人员培训阶段（贯穿整个项目周期）。</w:t>
      </w:r>
    </w:p>
    <w:p w14:paraId="0D6573B1">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default" w:cs="宋体" w:asciiTheme="minorEastAsia" w:hAnsiTheme="minorEastAsia" w:eastAsiaTheme="minorEastAsia"/>
          <w:color w:val="auto"/>
          <w:szCs w:val="21"/>
          <w:highlight w:val="none"/>
          <w:lang w:val="en-US" w:eastAsia="zh-CN"/>
        </w:rPr>
        <w:t>建立水质异常预警机制，提供应急处理方案和技术支持。空调水处理单位定期对操作人员进行培训，提高其专业技能和应急处理能力。持续收集物业部门监测人员反馈，持续优化水处理方案和服务。</w:t>
      </w:r>
    </w:p>
    <w:p w14:paraId="12BF2B8C">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六、项目保障措施</w:t>
      </w:r>
    </w:p>
    <w:p w14:paraId="33F1E7EA">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b w:val="0"/>
          <w:bCs w:val="0"/>
          <w:color w:val="auto"/>
          <w:szCs w:val="21"/>
          <w:highlight w:val="none"/>
          <w:lang w:val="en-US" w:eastAsia="zh-CN"/>
        </w:rPr>
        <w:t>1.质量保证。</w:t>
      </w:r>
    </w:p>
    <w:p w14:paraId="6E2A537D">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国家及行业相关的水处理标准和规范，所有使用的化学药剂和设备，质量和性能符合项目要求。由专业工程师和技术人员实施，并在关键阶段，进行全面的检测与评估，确保每一步操作都达到预期效果，及时调整方案以应对任何潜在问题。</w:t>
      </w:r>
    </w:p>
    <w:p w14:paraId="6631BB4E">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2.售后服务。</w:t>
      </w:r>
    </w:p>
    <w:p w14:paraId="377688F3">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快速响应、定期回访与检查、长期技术支持。</w:t>
      </w:r>
    </w:p>
    <w:p w14:paraId="3839C12A">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3.培训与指导。</w:t>
      </w:r>
    </w:p>
    <w:p w14:paraId="4E7E19FB">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eastAsia" w:cs="宋体" w:asciiTheme="minorEastAsia" w:hAnsiTheme="minorEastAsia" w:eastAsiaTheme="minorEastAsia"/>
          <w:color w:val="auto"/>
          <w:szCs w:val="21"/>
          <w:highlight w:val="none"/>
          <w:lang w:val="en-US" w:eastAsia="zh-CN"/>
        </w:rPr>
        <w:t>采购人</w:t>
      </w:r>
      <w:r>
        <w:rPr>
          <w:rFonts w:hint="default" w:cs="宋体" w:asciiTheme="minorEastAsia" w:hAnsiTheme="minorEastAsia" w:eastAsiaTheme="minorEastAsia"/>
          <w:color w:val="auto"/>
          <w:szCs w:val="21"/>
          <w:highlight w:val="none"/>
          <w:lang w:val="en-US" w:eastAsia="zh-CN"/>
        </w:rPr>
        <w:t>的操作人员进行全面的培训，包括设备操作、日常维护、应急处理等。</w:t>
      </w:r>
    </w:p>
    <w:p w14:paraId="1514E8BA">
      <w:pPr>
        <w:ind w:firstLine="422" w:firstLineChars="200"/>
        <w:outlineLvl w:val="1"/>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七、服务方案</w:t>
      </w:r>
    </w:p>
    <w:p w14:paraId="74F5C642">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（一）管道水处理保养</w:t>
      </w:r>
    </w:p>
    <w:p w14:paraId="4E814CB8">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管道水处理保养服务范围</w:t>
      </w:r>
    </w:p>
    <w:p w14:paraId="00ADC87B">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提供 1 次空调侧、冷却塔水处理服务；</w:t>
      </w:r>
    </w:p>
    <w:p w14:paraId="74829118">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default" w:cs="宋体" w:asciiTheme="minorEastAsia" w:hAnsiTheme="minorEastAsia" w:eastAsiaTheme="minorEastAsia"/>
          <w:color w:val="auto"/>
          <w:szCs w:val="21"/>
          <w:highlight w:val="none"/>
          <w:lang w:val="en-US" w:eastAsia="zh-CN"/>
        </w:rPr>
        <w:t>加注日常添加剂；</w:t>
      </w:r>
    </w:p>
    <w:p w14:paraId="52EAD862">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default" w:cs="宋体" w:asciiTheme="minorEastAsia" w:hAnsiTheme="minorEastAsia" w:eastAsiaTheme="minorEastAsia"/>
          <w:color w:val="auto"/>
          <w:szCs w:val="21"/>
          <w:highlight w:val="none"/>
          <w:lang w:val="en-US" w:eastAsia="zh-CN"/>
        </w:rPr>
        <w:t>清洗、镀膜、维护服务方案</w:t>
      </w:r>
    </w:p>
    <w:p w14:paraId="11D9F0A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空调侧管道水处理保养服务方案</w:t>
      </w:r>
    </w:p>
    <w:p w14:paraId="6C797B4E">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清洗方法</w:t>
      </w:r>
    </w:p>
    <w:p w14:paraId="1D5B9E2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①</w:t>
      </w:r>
      <w:r>
        <w:rPr>
          <w:rFonts w:hint="default" w:cs="宋体" w:asciiTheme="minorEastAsia" w:hAnsiTheme="minorEastAsia" w:eastAsiaTheme="minorEastAsia"/>
          <w:color w:val="auto"/>
          <w:szCs w:val="21"/>
          <w:highlight w:val="none"/>
          <w:lang w:val="en-US" w:eastAsia="zh-CN"/>
        </w:rPr>
        <w:t>利用外置水泵对管道内投放密闭循环中性水清洗预膜剂；</w:t>
      </w:r>
    </w:p>
    <w:p w14:paraId="22A2E5EF">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②</w:t>
      </w:r>
      <w:r>
        <w:rPr>
          <w:rFonts w:hint="default" w:cs="宋体" w:asciiTheme="minorEastAsia" w:hAnsiTheme="minorEastAsia" w:eastAsiaTheme="minorEastAsia"/>
          <w:color w:val="auto"/>
          <w:szCs w:val="21"/>
          <w:highlight w:val="none"/>
          <w:lang w:val="en-US" w:eastAsia="zh-CN"/>
        </w:rPr>
        <w:t>在系统底部排出适量的水让药剂进入系统，充分循环 24 小时后，全部排污（并留水样）；</w:t>
      </w:r>
    </w:p>
    <w:p w14:paraId="7DE6A39A">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③</w:t>
      </w:r>
      <w:r>
        <w:rPr>
          <w:rFonts w:hint="default" w:cs="宋体" w:asciiTheme="minorEastAsia" w:hAnsiTheme="minorEastAsia" w:eastAsiaTheme="minorEastAsia"/>
          <w:color w:val="auto"/>
          <w:szCs w:val="21"/>
          <w:highlight w:val="none"/>
          <w:lang w:val="en-US" w:eastAsia="zh-CN"/>
        </w:rPr>
        <w:t>再把系统补满水，循环 2-4 小时，再全部排污；</w:t>
      </w:r>
    </w:p>
    <w:p w14:paraId="7C3A689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④</w:t>
      </w:r>
      <w:r>
        <w:rPr>
          <w:rFonts w:hint="default" w:cs="宋体" w:asciiTheme="minorEastAsia" w:hAnsiTheme="minorEastAsia" w:eastAsiaTheme="minorEastAsia"/>
          <w:color w:val="auto"/>
          <w:szCs w:val="21"/>
          <w:highlight w:val="none"/>
          <w:lang w:val="en-US" w:eastAsia="zh-CN"/>
        </w:rPr>
        <w:t>反复置换系统冷冻水并打循环，到浊度&lt;20；（留水样）。</w:t>
      </w:r>
    </w:p>
    <w:p w14:paraId="22118C4A">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eastAsia" w:cs="宋体" w:asciiTheme="minorEastAsia" w:hAnsiTheme="minorEastAsia" w:eastAsiaTheme="minorEastAsia"/>
          <w:color w:val="auto"/>
          <w:szCs w:val="21"/>
          <w:highlight w:val="none"/>
          <w:lang w:val="en-US" w:eastAsia="zh-CN"/>
        </w:rPr>
        <w:t>2）</w:t>
      </w:r>
      <w:r>
        <w:rPr>
          <w:rFonts w:hint="default" w:cs="宋体" w:asciiTheme="minorEastAsia" w:hAnsiTheme="minorEastAsia" w:eastAsiaTheme="minorEastAsia"/>
          <w:color w:val="auto"/>
          <w:szCs w:val="21"/>
          <w:highlight w:val="none"/>
          <w:lang w:val="en-US" w:eastAsia="zh-CN"/>
        </w:rPr>
        <w:t>冷冻水系统日常维护：投加冷冻水系统日常处理剂（密闭水阻垢剂），利用自动加药装置定时投放，并按系统水的浓度作适当调整；</w:t>
      </w:r>
    </w:p>
    <w:p w14:paraId="319A406F">
      <w:pPr>
        <w:widowControl/>
        <w:snapToGrid w:val="0"/>
        <w:spacing w:line="360" w:lineRule="exact"/>
        <w:ind w:firstLine="422"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b/>
          <w:bCs/>
          <w:color w:val="auto"/>
          <w:szCs w:val="21"/>
          <w:highlight w:val="none"/>
          <w:lang w:val="en-US" w:eastAsia="zh-CN"/>
        </w:rPr>
        <w:t>（二）</w:t>
      </w:r>
      <w:r>
        <w:rPr>
          <w:rFonts w:hint="default" w:cs="宋体" w:asciiTheme="minorEastAsia" w:hAnsiTheme="minorEastAsia" w:eastAsiaTheme="minorEastAsia"/>
          <w:b/>
          <w:bCs/>
          <w:color w:val="auto"/>
          <w:szCs w:val="21"/>
          <w:highlight w:val="none"/>
          <w:lang w:val="en-US" w:eastAsia="zh-CN"/>
        </w:rPr>
        <w:t>冷却塔管道水处理保养服务方案</w:t>
      </w:r>
    </w:p>
    <w:p w14:paraId="3459DB2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方案概述</w:t>
      </w:r>
    </w:p>
    <w:p w14:paraId="5963A38C">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本方案针对冷却塔、冷却循环水管道、水泵、阀门及冷凝器水侧系统，提供日常水质维护 +  粘泥剥离+  除锈除垢 +  杀菌灭藻 +  预膜防腐一体化水处理服务，解决循环水结垢、腐蚀、藻类滋生、管道堵塞、换热效率下降等问题，保障冷水机组高效运行，降低能耗与故障率。</w:t>
      </w:r>
    </w:p>
    <w:p w14:paraId="6D54274C">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default" w:cs="宋体" w:asciiTheme="minorEastAsia" w:hAnsiTheme="minorEastAsia" w:eastAsiaTheme="minorEastAsia"/>
          <w:color w:val="auto"/>
          <w:szCs w:val="21"/>
          <w:highlight w:val="none"/>
          <w:lang w:val="en-US" w:eastAsia="zh-CN"/>
        </w:rPr>
        <w:t>服务目标</w:t>
      </w:r>
    </w:p>
    <w:p w14:paraId="72CEDBD5">
      <w:pPr>
        <w:widowControl/>
        <w:snapToGrid w:val="0"/>
        <w:spacing w:line="360" w:lineRule="exact"/>
        <w:ind w:firstLine="420" w:firstLineChars="200"/>
        <w:jc w:val="left"/>
        <w:rPr>
          <w:rFonts w:ascii="宋体" w:hAnsi="宋体" w:eastAsia="宋体" w:cs="宋体"/>
          <w:color w:val="auto"/>
          <w:sz w:val="20"/>
          <w:szCs w:val="20"/>
          <w:highlight w:val="none"/>
        </w:rPr>
      </w:pPr>
      <w:r>
        <w:rPr>
          <w:rFonts w:hint="default" w:cs="宋体" w:asciiTheme="minorEastAsia" w:hAnsiTheme="minorEastAsia" w:eastAsiaTheme="minorEastAsia"/>
          <w:color w:val="auto"/>
          <w:szCs w:val="21"/>
          <w:highlight w:val="none"/>
          <w:lang w:val="en-US" w:eastAsia="zh-CN"/>
        </w:rPr>
        <w:t>控制水垢生成，避免冷凝器、管道结垢导致高压报警、能耗上升，抑制军团菌、藻类、生物粘泥滋生，防止堵塞布水器、填料及管道减缓管道、设备电化学腐蚀，延长冷却塔、水泵、机组使用寿命；稳定水质指标，减少排污量，节约补水与药剂成本保证换热效率，使系统温差、压力、流量达到设计要求。</w:t>
      </w:r>
    </w:p>
    <w:p w14:paraId="39441095">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w:t>
      </w:r>
      <w:r>
        <w:rPr>
          <w:rFonts w:hint="default" w:cs="宋体" w:asciiTheme="minorEastAsia" w:hAnsiTheme="minorEastAsia" w:eastAsiaTheme="minorEastAsia"/>
          <w:color w:val="auto"/>
          <w:szCs w:val="21"/>
          <w:highlight w:val="none"/>
          <w:lang w:val="en-US" w:eastAsia="zh-CN"/>
        </w:rPr>
        <w:t>适用范围</w:t>
      </w:r>
    </w:p>
    <w:p w14:paraId="454547F6">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冷却塔本体：填料、布水器、收水器、塔体、集水池；</w:t>
      </w:r>
    </w:p>
    <w:p w14:paraId="2DE37C5E">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冷却循环水系统：供回水管道、弯头、阀门、过滤器、水泵；</w:t>
      </w:r>
    </w:p>
    <w:p w14:paraId="5DA33F99">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4.</w:t>
      </w:r>
      <w:r>
        <w:rPr>
          <w:rFonts w:hint="default" w:cs="宋体" w:asciiTheme="minorEastAsia" w:hAnsiTheme="minorEastAsia" w:eastAsiaTheme="minorEastAsia"/>
          <w:color w:val="auto"/>
          <w:szCs w:val="21"/>
          <w:highlight w:val="none"/>
          <w:lang w:val="en-US" w:eastAsia="zh-CN"/>
        </w:rPr>
        <w:t>水质控制标准（日常运行）</w:t>
      </w:r>
    </w:p>
    <w:p w14:paraId="4229D59A">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pH 值：7.5～9.0</w:t>
      </w:r>
    </w:p>
    <w:p w14:paraId="23295C49">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5.</w:t>
      </w:r>
      <w:r>
        <w:rPr>
          <w:rFonts w:hint="default" w:cs="宋体" w:asciiTheme="minorEastAsia" w:hAnsiTheme="minorEastAsia" w:eastAsiaTheme="minorEastAsia"/>
          <w:color w:val="auto"/>
          <w:szCs w:val="21"/>
          <w:highlight w:val="none"/>
          <w:lang w:val="en-US" w:eastAsia="zh-CN"/>
        </w:rPr>
        <w:t>服务内容</w:t>
      </w:r>
    </w:p>
    <w:p w14:paraId="309D2353">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default" w:cs="宋体" w:asciiTheme="minorEastAsia" w:hAnsiTheme="minorEastAsia" w:eastAsiaTheme="minorEastAsia"/>
          <w:color w:val="auto"/>
          <w:szCs w:val="21"/>
          <w:highlight w:val="none"/>
          <w:lang w:val="en-US" w:eastAsia="zh-CN"/>
        </w:rPr>
        <w:t>日常水质维护处理（运行期）</w:t>
      </w:r>
    </w:p>
    <w:p w14:paraId="51FC89B6">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定期投加缓蚀阻垢剂，抑制钙镁离子结垢，保护金属管道；定期投加氧化性杀菌剂（如氯系）与非氧化性杀菌剂交替使用，杀灭藻类与细菌；</w:t>
      </w:r>
    </w:p>
    <w:p w14:paraId="45F4B7CA">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检查布水均匀度、填料堵塞情况、集水池漂浮物与淤泥；</w:t>
      </w:r>
    </w:p>
    <w:p w14:paraId="2CFC983B">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default" w:cs="宋体" w:asciiTheme="minorEastAsia" w:hAnsiTheme="minorEastAsia" w:eastAsiaTheme="minorEastAsia"/>
          <w:color w:val="auto"/>
          <w:szCs w:val="21"/>
          <w:highlight w:val="none"/>
          <w:lang w:val="en-US" w:eastAsia="zh-CN"/>
        </w:rPr>
        <w:t>深度清洗处理（停机/换季）</w:t>
      </w:r>
    </w:p>
    <w:p w14:paraId="2708FFB0">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粘泥剥离清洗</w:t>
      </w:r>
    </w:p>
    <w:p w14:paraId="5CCC7660">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投加粘泥剥离剂，循环剥离管道、填料、集水池生物粘泥强力杀菌灭藻，清洗后排污置换；集水池人工清理</w:t>
      </w:r>
    </w:p>
    <w:p w14:paraId="22633F2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排空冷却塔水池，人工清除淤泥、砂石、杂物；高压冲洗塔体、填料、布水器；管道除锈除垢</w:t>
      </w:r>
    </w:p>
    <w:p w14:paraId="3C994B84">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对结垢严重管道进行化学循环清洗；清除铁锈、老垢、沉淀物，疏通管路系统钝化预膜</w:t>
      </w:r>
    </w:p>
    <w:p w14:paraId="7F796CCE">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清洗后投加预膜剂，在金属表面形成致密保护膜，防止清洗后快速返锈与二次腐蚀；</w:t>
      </w:r>
    </w:p>
    <w:p w14:paraId="6E80A291">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6.</w:t>
      </w:r>
      <w:r>
        <w:rPr>
          <w:rFonts w:hint="default" w:cs="宋体" w:asciiTheme="minorEastAsia" w:hAnsiTheme="minorEastAsia" w:eastAsiaTheme="minorEastAsia"/>
          <w:color w:val="auto"/>
          <w:szCs w:val="21"/>
          <w:highlight w:val="none"/>
          <w:lang w:val="en-US" w:eastAsia="zh-CN"/>
        </w:rPr>
        <w:t>安全环保要求</w:t>
      </w:r>
    </w:p>
    <w:p w14:paraId="2E4D6349">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使用低腐蚀、环保型水处理药剂，不损伤设备与填料；</w:t>
      </w:r>
    </w:p>
    <w:p w14:paraId="7A7BDF67">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施工时佩戴防护用品，设置警示区域；</w:t>
      </w:r>
    </w:p>
    <w:p w14:paraId="5BC83400">
      <w:pPr>
        <w:widowControl/>
        <w:snapToGrid w:val="0"/>
        <w:spacing w:line="360" w:lineRule="exact"/>
        <w:ind w:firstLine="420" w:firstLineChars="200"/>
        <w:jc w:val="left"/>
        <w:rPr>
          <w:rFonts w:hint="default" w:cs="宋体" w:asciiTheme="minorEastAsia" w:hAnsiTheme="minorEastAsia" w:eastAsiaTheme="minorEastAsia"/>
          <w:color w:val="auto"/>
          <w:szCs w:val="21"/>
          <w:highlight w:val="none"/>
          <w:lang w:val="en-US" w:eastAsia="zh-CN"/>
        </w:rPr>
      </w:pPr>
      <w:r>
        <w:rPr>
          <w:rFonts w:hint="default" w:cs="宋体" w:asciiTheme="minorEastAsia" w:hAnsiTheme="minorEastAsia" w:eastAsiaTheme="minorEastAsia"/>
          <w:color w:val="auto"/>
          <w:szCs w:val="21"/>
          <w:highlight w:val="none"/>
          <w:lang w:val="en-US" w:eastAsia="zh-CN"/>
        </w:rPr>
        <w:t>严禁使用强酸强碱违规清洗，避免损坏管道与冷却塔填料；</w:t>
      </w:r>
    </w:p>
    <w:p w14:paraId="2CD838B8">
      <w:pPr>
        <w:widowControl/>
        <w:snapToGrid w:val="0"/>
        <w:spacing w:line="360" w:lineRule="exact"/>
        <w:ind w:firstLine="420" w:firstLineChars="200"/>
        <w:jc w:val="left"/>
        <w:rPr>
          <w:rFonts w:ascii="宋体" w:hAnsi="宋体" w:eastAsia="宋体" w:cs="宋体"/>
          <w:color w:val="auto"/>
          <w:sz w:val="20"/>
          <w:szCs w:val="20"/>
          <w:highlight w:val="none"/>
        </w:rPr>
      </w:pPr>
      <w:r>
        <w:rPr>
          <w:rFonts w:hint="default" w:cs="宋体" w:asciiTheme="minorEastAsia" w:hAnsiTheme="minorEastAsia" w:eastAsiaTheme="minorEastAsia"/>
          <w:color w:val="auto"/>
          <w:szCs w:val="21"/>
          <w:highlight w:val="none"/>
          <w:lang w:val="en-US" w:eastAsia="zh-CN"/>
        </w:rPr>
        <w:t>高空作业遵守安全规范，专人监护；</w:t>
      </w:r>
    </w:p>
    <w:p w14:paraId="37000353">
      <w:pPr>
        <w:spacing w:before="64" w:line="229" w:lineRule="auto"/>
        <w:ind w:left="428"/>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lang w:val="en-US" w:eastAsia="zh-CN"/>
        </w:rPr>
        <w:t>7.</w:t>
      </w:r>
      <w:r>
        <w:rPr>
          <w:rFonts w:ascii="宋体" w:hAnsi="宋体" w:eastAsia="宋体" w:cs="宋体"/>
          <w:color w:val="auto"/>
          <w:spacing w:val="8"/>
          <w:sz w:val="20"/>
          <w:szCs w:val="20"/>
          <w:highlight w:val="none"/>
        </w:rPr>
        <w:t>质量标准</w:t>
      </w:r>
    </w:p>
    <w:p w14:paraId="4F25EE75">
      <w:pPr>
        <w:spacing w:before="64"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冷却塔集水池无淤泥、无藻类、布水均匀；</w:t>
      </w:r>
    </w:p>
    <w:p w14:paraId="01314A94">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管道通畅，过滤器无堵塞，水阻恢复正常；</w:t>
      </w:r>
    </w:p>
    <w:p w14:paraId="54E8D9D4">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系统无明显腐蚀点，无新锈产生；</w:t>
      </w:r>
    </w:p>
    <w:p w14:paraId="1135CA34">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机组冷凝压力、冷却水温差恢复正常；</w:t>
      </w:r>
    </w:p>
    <w:p w14:paraId="5753A285">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无异味、无粘泥、无军团菌滋生风险；</w:t>
      </w:r>
    </w:p>
    <w:p w14:paraId="6808D383">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采购包2：主机保养</w:t>
      </w:r>
    </w:p>
    <w:p w14:paraId="53F62A1B">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eastAsia="zh-CN"/>
        </w:rPr>
      </w:pPr>
      <w:r>
        <w:rPr>
          <w:rFonts w:hint="eastAsia" w:ascii="宋体" w:hAnsi="Times New Roman" w:eastAsia="宋体" w:cs="宋体"/>
          <w:b/>
          <w:bCs w:val="0"/>
          <w:color w:val="auto"/>
          <w:kern w:val="0"/>
          <w:szCs w:val="21"/>
          <w:highlight w:val="none"/>
          <w:lang w:eastAsia="zh-CN"/>
        </w:rPr>
        <w:t>一、项目背景</w:t>
      </w:r>
    </w:p>
    <w:p w14:paraId="5997C6DF">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eastAsia" w:ascii="宋体" w:hAnsi="Times New Roman" w:eastAsia="宋体" w:cs="宋体"/>
          <w:bCs/>
          <w:color w:val="auto"/>
          <w:kern w:val="0"/>
          <w:szCs w:val="21"/>
          <w:highlight w:val="none"/>
          <w:lang w:val="en-US" w:eastAsia="zh-CN"/>
        </w:rPr>
        <w:t>常州经开区文化活动中心作为公众参与展览、演出、会议等活动的核心场所，其人流量大、空间密闭性强、使用频率高，对内部环境舒适度及空气质量有着极高要求。中央空调系统作为维持舒适环境的关键设施，其稳定运行直接关系到场馆的服务质量和公众健康。为确保供冷供热核心系统全年稳定运行，防范机组故障造成场馆服务中断风险，降低设备能耗，延长机组使用寿命，特制定本年度中央空调主机保养服务方案。本年度中央空调主机保养服务方案的实施，将有效保障常州经开区文化活动中心供冷供热系统的稳定运行，降低设备故障率及能耗，延长机组使用寿命，提升室内空气质量，为公众提供一个更加舒适、健康的活动环境。同时，通过专业保养，减少突发故障对场馆服务的影响，提升公众满意度，树立绿色、健康的公共服务标杆。</w:t>
      </w:r>
    </w:p>
    <w:p w14:paraId="70A170C6">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二、项目目标</w:t>
      </w:r>
    </w:p>
    <w:p w14:paraId="630BB3D7">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en-US"/>
        </w:rPr>
      </w:pPr>
      <w:r>
        <w:rPr>
          <w:rFonts w:hint="eastAsia" w:ascii="宋体" w:hAnsi="Times New Roman" w:eastAsia="宋体" w:cs="宋体"/>
          <w:bCs/>
          <w:color w:val="auto"/>
          <w:kern w:val="0"/>
          <w:szCs w:val="21"/>
          <w:highlight w:val="none"/>
          <w:lang w:val="en-US" w:eastAsia="zh-CN"/>
        </w:rPr>
        <w:t>1.</w:t>
      </w:r>
      <w:r>
        <w:rPr>
          <w:rFonts w:hint="eastAsia" w:ascii="宋体" w:hAnsi="Times New Roman" w:eastAsia="宋体" w:cs="宋体"/>
          <w:bCs/>
          <w:color w:val="auto"/>
          <w:kern w:val="0"/>
          <w:szCs w:val="21"/>
          <w:highlight w:val="none"/>
          <w:lang w:val="en-US" w:eastAsia="en-US"/>
        </w:rPr>
        <w:t>保障系统稳定运行：通过定期保养，确保中央空调主机全年稳定运行，减少故障发生。</w:t>
      </w:r>
    </w:p>
    <w:p w14:paraId="369CCAE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en-US"/>
        </w:rPr>
      </w:pPr>
      <w:r>
        <w:rPr>
          <w:rFonts w:hint="eastAsia" w:ascii="宋体" w:hAnsi="Times New Roman" w:eastAsia="宋体" w:cs="宋体"/>
          <w:bCs/>
          <w:color w:val="auto"/>
          <w:kern w:val="0"/>
          <w:szCs w:val="21"/>
          <w:highlight w:val="none"/>
          <w:lang w:val="en-US" w:eastAsia="zh-CN"/>
        </w:rPr>
        <w:t>2.</w:t>
      </w:r>
      <w:r>
        <w:rPr>
          <w:rFonts w:hint="eastAsia" w:ascii="宋体" w:hAnsi="Times New Roman" w:eastAsia="宋体" w:cs="宋体"/>
          <w:bCs/>
          <w:color w:val="auto"/>
          <w:kern w:val="0"/>
          <w:szCs w:val="21"/>
          <w:highlight w:val="none"/>
          <w:lang w:val="en-US" w:eastAsia="en-US"/>
        </w:rPr>
        <w:t>降低能耗与成本：优化系统性能，降低设备能耗，减少运营开支。</w:t>
      </w:r>
    </w:p>
    <w:p w14:paraId="3BDD5E4E">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en-US"/>
        </w:rPr>
      </w:pPr>
      <w:r>
        <w:rPr>
          <w:rFonts w:hint="eastAsia" w:ascii="宋体" w:hAnsi="Times New Roman" w:eastAsia="宋体" w:cs="宋体"/>
          <w:bCs/>
          <w:color w:val="auto"/>
          <w:kern w:val="0"/>
          <w:szCs w:val="21"/>
          <w:highlight w:val="none"/>
          <w:lang w:val="en-US" w:eastAsia="zh-CN"/>
        </w:rPr>
        <w:t>3.</w:t>
      </w:r>
      <w:r>
        <w:rPr>
          <w:rFonts w:hint="eastAsia" w:ascii="宋体" w:hAnsi="Times New Roman" w:eastAsia="宋体" w:cs="宋体"/>
          <w:bCs/>
          <w:color w:val="auto"/>
          <w:kern w:val="0"/>
          <w:szCs w:val="21"/>
          <w:highlight w:val="none"/>
          <w:lang w:val="en-US" w:eastAsia="en-US"/>
        </w:rPr>
        <w:t>延长设备寿命：通过专业保养，延长机组使用寿命，减少更换频率。</w:t>
      </w:r>
    </w:p>
    <w:p w14:paraId="507B67C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en-US"/>
        </w:rPr>
      </w:pPr>
      <w:r>
        <w:rPr>
          <w:rFonts w:hint="eastAsia" w:ascii="宋体" w:hAnsi="Times New Roman" w:eastAsia="宋体" w:cs="宋体"/>
          <w:bCs/>
          <w:color w:val="auto"/>
          <w:kern w:val="0"/>
          <w:szCs w:val="21"/>
          <w:highlight w:val="none"/>
          <w:lang w:val="en-US" w:eastAsia="zh-CN"/>
        </w:rPr>
        <w:t>4.</w:t>
      </w:r>
      <w:r>
        <w:rPr>
          <w:rFonts w:hint="eastAsia" w:ascii="宋体" w:hAnsi="Times New Roman" w:eastAsia="宋体" w:cs="宋体"/>
          <w:bCs/>
          <w:color w:val="auto"/>
          <w:kern w:val="0"/>
          <w:szCs w:val="21"/>
          <w:highlight w:val="none"/>
          <w:lang w:val="en-US" w:eastAsia="en-US"/>
        </w:rPr>
        <w:t>提升空气质量：确保空调系统清洁，提升室内空气质量，保障公众健康。</w:t>
      </w:r>
    </w:p>
    <w:p w14:paraId="3609F05F">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三、项目范围与内容</w:t>
      </w:r>
    </w:p>
    <w:p w14:paraId="7AD2EF3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1.服务对象：常州经开区文化活动中心2台特灵螺杆式水源热泵机组。</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7"/>
        <w:gridCol w:w="1751"/>
        <w:gridCol w:w="1774"/>
        <w:gridCol w:w="1738"/>
      </w:tblGrid>
      <w:tr w14:paraId="7F7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top"/>
          </w:tcPr>
          <w:p w14:paraId="614F83FD">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项目</w:t>
            </w:r>
          </w:p>
        </w:tc>
        <w:tc>
          <w:tcPr>
            <w:tcW w:w="1027" w:type="pct"/>
            <w:noWrap w:val="0"/>
            <w:vAlign w:val="top"/>
          </w:tcPr>
          <w:p w14:paraId="018D519D">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单位</w:t>
            </w:r>
          </w:p>
        </w:tc>
        <w:tc>
          <w:tcPr>
            <w:tcW w:w="1041" w:type="pct"/>
            <w:noWrap w:val="0"/>
            <w:vAlign w:val="top"/>
          </w:tcPr>
          <w:p w14:paraId="65B5762C">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数量</w:t>
            </w:r>
          </w:p>
        </w:tc>
        <w:tc>
          <w:tcPr>
            <w:tcW w:w="1019" w:type="pct"/>
            <w:noWrap w:val="0"/>
            <w:vAlign w:val="top"/>
          </w:tcPr>
          <w:p w14:paraId="42C2D7E4">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单价（元）</w:t>
            </w:r>
          </w:p>
        </w:tc>
      </w:tr>
      <w:tr w14:paraId="61B4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0A581F03">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冷冻油</w:t>
            </w:r>
          </w:p>
        </w:tc>
        <w:tc>
          <w:tcPr>
            <w:tcW w:w="1027" w:type="pct"/>
            <w:noWrap w:val="0"/>
            <w:vAlign w:val="center"/>
          </w:tcPr>
          <w:p w14:paraId="3D38D2B7">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桶</w:t>
            </w:r>
          </w:p>
        </w:tc>
        <w:tc>
          <w:tcPr>
            <w:tcW w:w="1774" w:type="dxa"/>
            <w:noWrap w:val="0"/>
            <w:vAlign w:val="center"/>
          </w:tcPr>
          <w:p w14:paraId="0FFFCB87">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12</w:t>
            </w:r>
          </w:p>
        </w:tc>
        <w:tc>
          <w:tcPr>
            <w:tcW w:w="1738" w:type="dxa"/>
            <w:noWrap w:val="0"/>
            <w:vAlign w:val="center"/>
          </w:tcPr>
          <w:p w14:paraId="3ED93366">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1200</w:t>
            </w:r>
          </w:p>
        </w:tc>
      </w:tr>
      <w:tr w14:paraId="133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2CC5C214">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冷媒过滤器</w:t>
            </w:r>
          </w:p>
        </w:tc>
        <w:tc>
          <w:tcPr>
            <w:tcW w:w="1027" w:type="pct"/>
            <w:noWrap w:val="0"/>
            <w:vAlign w:val="center"/>
          </w:tcPr>
          <w:p w14:paraId="6900BD43">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只</w:t>
            </w:r>
          </w:p>
        </w:tc>
        <w:tc>
          <w:tcPr>
            <w:tcW w:w="1774" w:type="dxa"/>
            <w:noWrap w:val="0"/>
            <w:vAlign w:val="center"/>
          </w:tcPr>
          <w:p w14:paraId="5E5F9F8A">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p>
        </w:tc>
        <w:tc>
          <w:tcPr>
            <w:tcW w:w="1738" w:type="dxa"/>
            <w:noWrap w:val="0"/>
            <w:vAlign w:val="center"/>
          </w:tcPr>
          <w:p w14:paraId="568065B7">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290</w:t>
            </w:r>
          </w:p>
        </w:tc>
      </w:tr>
      <w:tr w14:paraId="6407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65CB8C1C">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油过滤器</w:t>
            </w:r>
          </w:p>
        </w:tc>
        <w:tc>
          <w:tcPr>
            <w:tcW w:w="1027" w:type="pct"/>
            <w:noWrap w:val="0"/>
            <w:vAlign w:val="center"/>
          </w:tcPr>
          <w:p w14:paraId="22649E08">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只</w:t>
            </w:r>
          </w:p>
        </w:tc>
        <w:tc>
          <w:tcPr>
            <w:tcW w:w="1774" w:type="dxa"/>
            <w:noWrap w:val="0"/>
            <w:vAlign w:val="center"/>
          </w:tcPr>
          <w:p w14:paraId="69A3C86E">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p>
        </w:tc>
        <w:tc>
          <w:tcPr>
            <w:tcW w:w="1738" w:type="dxa"/>
            <w:noWrap w:val="0"/>
            <w:vAlign w:val="center"/>
          </w:tcPr>
          <w:p w14:paraId="59E7624D">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790</w:t>
            </w:r>
          </w:p>
        </w:tc>
      </w:tr>
      <w:tr w14:paraId="6A8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7727BC85">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制冷剂</w:t>
            </w:r>
          </w:p>
        </w:tc>
        <w:tc>
          <w:tcPr>
            <w:tcW w:w="1027" w:type="pct"/>
            <w:noWrap w:val="0"/>
            <w:vAlign w:val="center"/>
          </w:tcPr>
          <w:p w14:paraId="073C2688">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桶</w:t>
            </w:r>
          </w:p>
        </w:tc>
        <w:tc>
          <w:tcPr>
            <w:tcW w:w="1774" w:type="dxa"/>
            <w:noWrap w:val="0"/>
            <w:vAlign w:val="center"/>
          </w:tcPr>
          <w:p w14:paraId="4BD38AB2">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738" w:type="dxa"/>
            <w:noWrap w:val="0"/>
            <w:vAlign w:val="center"/>
          </w:tcPr>
          <w:p w14:paraId="2D949860">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1000</w:t>
            </w:r>
          </w:p>
        </w:tc>
      </w:tr>
      <w:tr w14:paraId="5EA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5FF9A726">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清洗剂</w:t>
            </w:r>
          </w:p>
        </w:tc>
        <w:tc>
          <w:tcPr>
            <w:tcW w:w="1027" w:type="pct"/>
            <w:noWrap w:val="0"/>
            <w:vAlign w:val="center"/>
          </w:tcPr>
          <w:p w14:paraId="15EBBDB4">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桶</w:t>
            </w:r>
          </w:p>
        </w:tc>
        <w:tc>
          <w:tcPr>
            <w:tcW w:w="1774" w:type="dxa"/>
            <w:noWrap w:val="0"/>
            <w:vAlign w:val="center"/>
          </w:tcPr>
          <w:p w14:paraId="3509485A">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6</w:t>
            </w:r>
          </w:p>
        </w:tc>
        <w:tc>
          <w:tcPr>
            <w:tcW w:w="1738" w:type="dxa"/>
            <w:noWrap w:val="0"/>
            <w:vAlign w:val="center"/>
          </w:tcPr>
          <w:p w14:paraId="728E75E9">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380</w:t>
            </w:r>
          </w:p>
        </w:tc>
      </w:tr>
      <w:tr w14:paraId="1BE1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757B00F8">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药物循环及通炮清洗</w:t>
            </w:r>
          </w:p>
        </w:tc>
        <w:tc>
          <w:tcPr>
            <w:tcW w:w="1027" w:type="pct"/>
            <w:noWrap w:val="0"/>
            <w:vAlign w:val="center"/>
          </w:tcPr>
          <w:p w14:paraId="023163E1">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台</w:t>
            </w:r>
          </w:p>
        </w:tc>
        <w:tc>
          <w:tcPr>
            <w:tcW w:w="1774" w:type="dxa"/>
            <w:noWrap w:val="0"/>
            <w:vAlign w:val="center"/>
          </w:tcPr>
          <w:p w14:paraId="51F5AB6A">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738" w:type="dxa"/>
            <w:noWrap w:val="0"/>
            <w:vAlign w:val="center"/>
          </w:tcPr>
          <w:p w14:paraId="690BE116">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2500</w:t>
            </w:r>
          </w:p>
        </w:tc>
      </w:tr>
      <w:tr w14:paraId="5D22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4AFB5B61">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技术保养服务费</w:t>
            </w:r>
          </w:p>
        </w:tc>
        <w:tc>
          <w:tcPr>
            <w:tcW w:w="1027" w:type="pct"/>
            <w:noWrap w:val="0"/>
            <w:vAlign w:val="center"/>
          </w:tcPr>
          <w:p w14:paraId="4C8FF294">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台</w:t>
            </w:r>
          </w:p>
        </w:tc>
        <w:tc>
          <w:tcPr>
            <w:tcW w:w="1774" w:type="dxa"/>
            <w:noWrap w:val="0"/>
            <w:vAlign w:val="center"/>
          </w:tcPr>
          <w:p w14:paraId="30FCA95A">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738" w:type="dxa"/>
            <w:noWrap w:val="0"/>
            <w:vAlign w:val="center"/>
          </w:tcPr>
          <w:p w14:paraId="235A364E">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2000</w:t>
            </w:r>
          </w:p>
        </w:tc>
      </w:tr>
      <w:tr w14:paraId="57F3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noWrap w:val="0"/>
            <w:vAlign w:val="center"/>
          </w:tcPr>
          <w:p w14:paraId="65E600D7">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其他费用</w:t>
            </w:r>
          </w:p>
        </w:tc>
        <w:tc>
          <w:tcPr>
            <w:tcW w:w="1027" w:type="pct"/>
            <w:noWrap w:val="0"/>
            <w:vAlign w:val="center"/>
          </w:tcPr>
          <w:p w14:paraId="653C554B">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项</w:t>
            </w:r>
          </w:p>
        </w:tc>
        <w:tc>
          <w:tcPr>
            <w:tcW w:w="1774" w:type="dxa"/>
            <w:noWrap w:val="0"/>
            <w:vAlign w:val="center"/>
          </w:tcPr>
          <w:p w14:paraId="03E531E3">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738" w:type="dxa"/>
            <w:noWrap w:val="0"/>
            <w:vAlign w:val="center"/>
          </w:tcPr>
          <w:p w14:paraId="5736C061">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5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1000</w:t>
            </w:r>
          </w:p>
        </w:tc>
      </w:tr>
    </w:tbl>
    <w:p w14:paraId="6484082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2.服务内容：</w:t>
      </w:r>
    </w:p>
    <w:p w14:paraId="6163A8A4">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 xml:space="preserve">（1）原厂专用耗材更换： </w:t>
      </w:r>
    </w:p>
    <w:p w14:paraId="40CC915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冷冻油：更换特灵专用冷冻油OIL48。</w:t>
      </w:r>
    </w:p>
    <w:p w14:paraId="1C42C18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冷媒过滤器：更换特灵专用冷媒过滤器FLR03434。</w:t>
      </w:r>
    </w:p>
    <w:p w14:paraId="40B40808">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油过滤器：更换特灵专用油过滤器ELM01405。</w:t>
      </w:r>
    </w:p>
    <w:p w14:paraId="591992B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制冷剂：补充巨化R134a制冷剂。</w:t>
      </w:r>
    </w:p>
    <w:p w14:paraId="66BF31B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 xml:space="preserve">（2）管路通炮清洗： </w:t>
      </w:r>
    </w:p>
    <w:p w14:paraId="437266E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使用康星钙尔西康强力彩码除垢剂（90-36B）进行管路清洗。</w:t>
      </w:r>
    </w:p>
    <w:p w14:paraId="4D76F7EE">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对蒸发器、冷凝器进行药物循环及通炮清洗，每台机组各一次。</w:t>
      </w:r>
    </w:p>
    <w:p w14:paraId="1F353DDE">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 xml:space="preserve">（3）系统检测调试： </w:t>
      </w:r>
    </w:p>
    <w:p w14:paraId="49CA236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对中央空调主机进行全面系统检测，包括电气控制、制冷循环等关键部件。</w:t>
      </w:r>
    </w:p>
    <w:p w14:paraId="6A1B170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根据检测结果进行必要的调试，确保系统处于最佳运行状态。</w:t>
      </w:r>
    </w:p>
    <w:p w14:paraId="59704E67">
      <w:pPr>
        <w:widowControl/>
        <w:snapToGrid w:val="0"/>
        <w:spacing w:line="360" w:lineRule="exact"/>
        <w:ind w:firstLine="42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宋体" w:hAnsi="Times New Roman" w:eastAsia="宋体" w:cs="宋体"/>
          <w:bCs/>
          <w:color w:val="auto"/>
          <w:kern w:val="0"/>
          <w:szCs w:val="21"/>
          <w:highlight w:val="none"/>
          <w:lang w:val="en-US" w:eastAsia="zh-CN"/>
        </w:rPr>
        <w:t>技术保养服务费（含更换作业费、系统调试、程序检测）。</w:t>
      </w:r>
    </w:p>
    <w:p w14:paraId="17BA4BF3">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四、项目实施计划</w:t>
      </w:r>
    </w:p>
    <w:p w14:paraId="0A2831B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1.准备阶段（耗时1天）</w:t>
      </w:r>
    </w:p>
    <w:p w14:paraId="1E68179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与物业管理人员沟通，确认保养时间及现场配合事项。</w:t>
      </w:r>
    </w:p>
    <w:p w14:paraId="02F1535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准备所需耗材、工具及安全防护装备。</w:t>
      </w:r>
    </w:p>
    <w:p w14:paraId="1DFE3E6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2.实施阶段（预计耗时2天）</w:t>
      </w:r>
    </w:p>
    <w:p w14:paraId="2EC47AA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按照既定方案进行耗材更换、管路清洗及系统检测调试。</w:t>
      </w:r>
    </w:p>
    <w:p w14:paraId="508E726B">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实时监测清洗及调试过程，确保操作规范，避免对设备造成损害。</w:t>
      </w:r>
    </w:p>
    <w:p w14:paraId="74EE6FD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3.验收阶段（耗时1天）</w:t>
      </w:r>
    </w:p>
    <w:p w14:paraId="553BD74F">
      <w:pPr>
        <w:widowControl/>
        <w:snapToGrid w:val="0"/>
        <w:spacing w:line="360" w:lineRule="exact"/>
        <w:ind w:firstLine="42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宋体" w:hAnsi="Times New Roman" w:eastAsia="宋体" w:cs="宋体"/>
          <w:bCs/>
          <w:color w:val="auto"/>
          <w:kern w:val="0"/>
          <w:szCs w:val="21"/>
          <w:highlight w:val="none"/>
          <w:lang w:val="en-US" w:eastAsia="zh-CN"/>
        </w:rPr>
        <w:t>保养工作完成后，进行全面检查，确保所有项目均按标准完成。</w:t>
      </w:r>
    </w:p>
    <w:p w14:paraId="2C6831B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提交保养报告，包括更换耗材清单、检测数据、调试结果等。</w:t>
      </w:r>
    </w:p>
    <w:p w14:paraId="02B4459B">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五、项目保障措施</w:t>
      </w:r>
    </w:p>
    <w:p w14:paraId="3FEC0A9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1.质量保证</w:t>
      </w:r>
    </w:p>
    <w:p w14:paraId="15BC822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严格遵守国家及行业相关标准，使用原厂专用耗材及配件。</w:t>
      </w:r>
    </w:p>
    <w:p w14:paraId="31B7482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由专业工程师及技术人员实施保养作业，确保每一步操作都达到预期效果。</w:t>
      </w:r>
    </w:p>
    <w:p w14:paraId="7DCD640B">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2.售后服务</w:t>
      </w:r>
    </w:p>
    <w:p w14:paraId="258E47B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提供快速响应服务，对保养后出现的问题及时进行处理。</w:t>
      </w:r>
    </w:p>
    <w:p w14:paraId="00821B2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定期回访与检查，提供长期技术支持。</w:t>
      </w:r>
    </w:p>
    <w:p w14:paraId="6A9CC2B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3.培训与指导</w:t>
      </w:r>
    </w:p>
    <w:p w14:paraId="2E09F5E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对采购人的操作人员进行全面培训，包括设备操作、日常维护及应急处理等。</w:t>
      </w:r>
    </w:p>
    <w:p w14:paraId="2AF5C897">
      <w:pPr>
        <w:widowControl/>
        <w:snapToGrid w:val="0"/>
        <w:spacing w:line="360" w:lineRule="exact"/>
        <w:ind w:firstLine="420" w:firstLineChars="200"/>
        <w:jc w:val="left"/>
        <w:rPr>
          <w:rFonts w:hint="eastAsia" w:ascii="宋体" w:hAnsi="宋体" w:cs="宋体"/>
          <w:b/>
          <w:color w:val="auto"/>
          <w:kern w:val="0"/>
          <w:szCs w:val="21"/>
          <w:highlight w:val="none"/>
        </w:rPr>
      </w:pPr>
      <w:r>
        <w:rPr>
          <w:rFonts w:hint="eastAsia" w:ascii="宋体" w:hAnsi="Times New Roman" w:eastAsia="宋体" w:cs="宋体"/>
          <w:bCs/>
          <w:color w:val="auto"/>
          <w:kern w:val="0"/>
          <w:szCs w:val="21"/>
          <w:highlight w:val="none"/>
          <w:lang w:val="en-US" w:eastAsia="zh-CN"/>
        </w:rPr>
        <w:t>提供操作手册及应急预案，提升人员的自主管理能力。</w:t>
      </w:r>
    </w:p>
    <w:p w14:paraId="7D1D9233">
      <w:pPr>
        <w:ind w:firstLine="422" w:firstLineChars="200"/>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六、服务方案</w:t>
      </w:r>
    </w:p>
    <w:p w14:paraId="6DDD0C0C">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（一）特灵螺杆式水源热泵机组保养</w:t>
      </w:r>
    </w:p>
    <w:p w14:paraId="6A21D85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1.机组保养服务范围</w:t>
      </w:r>
    </w:p>
    <w:p w14:paraId="046AD7FA">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（1）夏季使用前提供 1 次定期保养；</w:t>
      </w:r>
    </w:p>
    <w:p w14:paraId="32C9AD2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（2）1 次对 2 台螺杆机组各运行数据的检测，控制系统的检查；</w:t>
      </w:r>
    </w:p>
    <w:p w14:paraId="487BA89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（3）1 次对 2 台螺杆机组 4 个系统冷冻油、干燥过滤器、油过滤器进行更换并补充制冷剂（2 台主机共4个系统）；</w:t>
      </w:r>
    </w:p>
    <w:p w14:paraId="38E8BC37">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（4）1 次对 2 台螺杆机组蒸发器、冷凝器进行化学清洗及通炮清洗；</w:t>
      </w:r>
    </w:p>
    <w:p w14:paraId="4ED162C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2.保养服务方案</w:t>
      </w:r>
    </w:p>
    <w:p w14:paraId="1AE4161C">
      <w:pPr>
        <w:widowControl/>
        <w:snapToGrid w:val="0"/>
        <w:spacing w:line="360" w:lineRule="exact"/>
        <w:ind w:firstLine="422"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A、螺杆机组蒸发器、冷凝器清洗服务方案</w:t>
      </w:r>
    </w:p>
    <w:p w14:paraId="1F51750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（1）服务概述</w:t>
      </w:r>
    </w:p>
    <w:p w14:paraId="7B92819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本方案针对特灵螺杆机组蒸发器、冷凝器水侧进行专业化学清洗+物理通炮，清除管壁水垢、淤泥、生物粘泥、锈蚀，恢复换热效率，降低机组能耗，减少高压报警、电流偏高、换热差等故障，延长机组使用寿命。</w:t>
      </w:r>
    </w:p>
    <w:p w14:paraId="6F2BF9E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（2）清洗标准</w:t>
      </w:r>
    </w:p>
    <w:p w14:paraId="5497A75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技术要求：换热管无损伤、无腐蚀、无堵管；</w:t>
      </w:r>
    </w:p>
    <w:p w14:paraId="346594A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清洗后热交换效率恢复≥95%，进出水温差正常；</w:t>
      </w:r>
    </w:p>
    <w:p w14:paraId="3D1C2107">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（3）服务范围</w:t>
      </w:r>
    </w:p>
    <w:p w14:paraId="78AF2BE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冷凝器壳程水侧化学清洗+物理通炮；</w:t>
      </w:r>
    </w:p>
    <w:p w14:paraId="767700D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蒸发器壳程水侧化学清洗+物理通炮；</w:t>
      </w:r>
    </w:p>
    <w:p w14:paraId="4525281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配套循环管路、端盖、封头清洗除垢；</w:t>
      </w:r>
    </w:p>
    <w:p w14:paraId="5AB93E6B">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清洗后水侧冲洗、水质恢复；</w:t>
      </w:r>
    </w:p>
    <w:p w14:paraId="18C6D5E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（4）施工条件与准备</w:t>
      </w:r>
    </w:p>
    <w:p w14:paraId="32EAF988">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①停机条件 机组正常停机；</w:t>
      </w:r>
    </w:p>
    <w:p w14:paraId="5AA03F8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冷冻水、冷却水系统停机泄压；</w:t>
      </w:r>
    </w:p>
    <w:p w14:paraId="5597C4F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关闭机组与水系统相关阀门，具备独立隔离条件；</w:t>
      </w:r>
    </w:p>
    <w:p w14:paraId="32AE443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②人员与安全</w:t>
      </w:r>
    </w:p>
    <w:p w14:paraId="3B8F5E2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专业持证清洗人员；</w:t>
      </w:r>
    </w:p>
    <w:p w14:paraId="1EE7F08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配备耐酸手套、护目镜、防护服、防毒口罩；现场通风良好，设置警示区域；</w:t>
      </w:r>
    </w:p>
    <w:p w14:paraId="0DD9D7B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③机具与药剂</w:t>
      </w:r>
    </w:p>
    <w:p w14:paraId="5946174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清洗泵、配药桶、临时软管、压力表高效安全除垢剂；</w:t>
      </w:r>
    </w:p>
    <w:p w14:paraId="561961B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通炮机、尼龙通炮刷、通炮杆、高压水枪、抹布、工具；</w:t>
      </w:r>
    </w:p>
    <w:p w14:paraId="3EF27CE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（5）施工工艺流程</w:t>
      </w:r>
    </w:p>
    <w:p w14:paraId="7C8EAB1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①前期检查与隔离</w:t>
      </w:r>
    </w:p>
    <w:p w14:paraId="1DACB7C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检查机组进出水温度、压力、流量</w:t>
      </w:r>
    </w:p>
    <w:p w14:paraId="09DD27B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关闭水系统阀门，泄空蒸发器、冷凝器存水</w:t>
      </w:r>
    </w:p>
    <w:p w14:paraId="3761E144">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拆卸水室端盖，检查结垢、腐蚀、堵管情况并拍照记录</w:t>
      </w:r>
    </w:p>
    <w:p w14:paraId="60DA40CB">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②循环化学清洗</w:t>
      </w:r>
    </w:p>
    <w:p w14:paraId="3ACD308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搭建临时清洗回路，连接清洗泵与机组水侧；注入清水试循环，检查无泄漏；</w:t>
      </w:r>
    </w:p>
    <w:p w14:paraId="7A459123">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加入安全除垢剂，控制 pH 2～4，循环 2～4 小时；</w:t>
      </w:r>
    </w:p>
    <w:p w14:paraId="22C26506">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每 30 分钟检测 pH、温度，监控腐蚀率；</w:t>
      </w:r>
    </w:p>
    <w:p w14:paraId="43612585">
      <w:pPr>
        <w:widowControl/>
        <w:snapToGrid w:val="0"/>
        <w:spacing w:line="360" w:lineRule="exact"/>
        <w:ind w:firstLine="420" w:firstLineChars="200"/>
        <w:jc w:val="left"/>
        <w:rPr>
          <w:rFonts w:ascii="宋体" w:hAnsi="宋体" w:eastAsia="宋体" w:cs="宋体"/>
          <w:color w:val="auto"/>
          <w:sz w:val="20"/>
          <w:szCs w:val="20"/>
          <w:highlight w:val="none"/>
        </w:rPr>
      </w:pPr>
      <w:r>
        <w:rPr>
          <w:rFonts w:hint="eastAsia" w:ascii="宋体" w:hAnsi="Times New Roman" w:eastAsia="宋体" w:cs="宋体"/>
          <w:bCs/>
          <w:color w:val="auto"/>
          <w:kern w:val="0"/>
          <w:szCs w:val="21"/>
          <w:highlight w:val="none"/>
          <w:lang w:val="en-US" w:eastAsia="zh-CN"/>
        </w:rPr>
        <w:t>水垢脱净后，排空清洗液，清水反复冲洗至中性；</w:t>
      </w:r>
    </w:p>
    <w:p w14:paraId="794F08A7">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③物理通炮清洗</w:t>
      </w:r>
    </w:p>
    <w:p w14:paraId="712C9B0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使用通炮机+尼龙软刷逐根对铜管进行通炮</w:t>
      </w:r>
    </w:p>
    <w:p w14:paraId="3F0DDED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从一端推入，另一端拉出，清除管内硬垢、淤泥；配合高压水枪冲洗清理水室封头、隔板、挡板污垢检查无堵管、无残留杂物</w:t>
      </w:r>
    </w:p>
    <w:p w14:paraId="5D33905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④循环化学清洗</w:t>
      </w:r>
    </w:p>
    <w:p w14:paraId="4BAA57EA">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搭建临时清洗回路，连接清洗泵与机组水侧；注入清水试循环，检查无泄漏；</w:t>
      </w:r>
    </w:p>
    <w:p w14:paraId="549ED0C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加入安全除垢剂，控制 pH 2～4，循环 2～4 小时；</w:t>
      </w:r>
    </w:p>
    <w:p w14:paraId="7BF9573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每 30 分钟检测 pH、温度，监控腐蚀率；</w:t>
      </w:r>
    </w:p>
    <w:p w14:paraId="24000F97">
      <w:pPr>
        <w:widowControl/>
        <w:snapToGrid w:val="0"/>
        <w:spacing w:line="360" w:lineRule="exact"/>
        <w:ind w:firstLine="420" w:firstLineChars="200"/>
        <w:jc w:val="left"/>
        <w:rPr>
          <w:rFonts w:ascii="宋体" w:hAnsi="宋体" w:eastAsia="宋体" w:cs="宋体"/>
          <w:color w:val="auto"/>
          <w:sz w:val="20"/>
          <w:szCs w:val="20"/>
          <w:highlight w:val="none"/>
        </w:rPr>
      </w:pPr>
      <w:r>
        <w:rPr>
          <w:rFonts w:hint="eastAsia" w:ascii="宋体" w:hAnsi="Times New Roman" w:eastAsia="宋体" w:cs="宋体"/>
          <w:bCs/>
          <w:color w:val="auto"/>
          <w:kern w:val="0"/>
          <w:szCs w:val="21"/>
          <w:highlight w:val="none"/>
          <w:lang w:val="en-US" w:eastAsia="zh-CN"/>
        </w:rPr>
        <w:t>水垢脱净后，排空清洗液，清水反复冲洗至中性；</w:t>
      </w:r>
    </w:p>
    <w:p w14:paraId="592C1CF4">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⑤复位与试压</w:t>
      </w:r>
    </w:p>
    <w:p w14:paraId="07068A1A">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装回端盖、密封垫，均匀紧固螺栓；</w:t>
      </w:r>
    </w:p>
    <w:p w14:paraId="2C04387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水侧注水、排气、试压，检查无渗漏；</w:t>
      </w:r>
    </w:p>
    <w:p w14:paraId="34CE016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恢复冷冻水、冷却水系统正常运行；</w:t>
      </w:r>
    </w:p>
    <w:p w14:paraId="24C6C1A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施工完毕现场清理整洁；</w:t>
      </w:r>
    </w:p>
    <w:p w14:paraId="3884D40D">
      <w:pPr>
        <w:widowControl/>
        <w:snapToGrid w:val="0"/>
        <w:spacing w:line="360" w:lineRule="exact"/>
        <w:ind w:firstLine="422" w:firstLineChars="200"/>
        <w:jc w:val="left"/>
        <w:rPr>
          <w:rFonts w:hint="eastAsia" w:ascii="宋体" w:hAnsi="Times New Roman" w:eastAsia="宋体" w:cs="宋体"/>
          <w:b/>
          <w:bCs w:val="0"/>
          <w:color w:val="auto"/>
          <w:kern w:val="0"/>
          <w:szCs w:val="21"/>
          <w:highlight w:val="none"/>
          <w:lang w:val="en-US" w:eastAsia="zh-CN"/>
        </w:rPr>
      </w:pPr>
      <w:r>
        <w:rPr>
          <w:rFonts w:hint="eastAsia" w:ascii="宋体" w:hAnsi="Times New Roman" w:eastAsia="宋体" w:cs="宋体"/>
          <w:b/>
          <w:bCs w:val="0"/>
          <w:color w:val="auto"/>
          <w:kern w:val="0"/>
          <w:szCs w:val="21"/>
          <w:highlight w:val="none"/>
          <w:lang w:val="en-US" w:eastAsia="zh-CN"/>
        </w:rPr>
        <w:t>B、螺杆机组冷冻油、干燥过滤器、油过滤器更换服务方案</w:t>
      </w:r>
    </w:p>
    <w:p w14:paraId="2215A2E4">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（1）保养目的</w:t>
      </w:r>
    </w:p>
    <w:p w14:paraId="107041A2">
      <w:pPr>
        <w:widowControl/>
        <w:snapToGrid w:val="0"/>
        <w:spacing w:line="360" w:lineRule="exact"/>
        <w:ind w:firstLine="420" w:firstLineChars="200"/>
        <w:jc w:val="left"/>
        <w:rPr>
          <w:rFonts w:ascii="宋体" w:hAnsi="宋体" w:eastAsia="宋体" w:cs="宋体"/>
          <w:color w:val="auto"/>
          <w:sz w:val="20"/>
          <w:szCs w:val="20"/>
          <w:highlight w:val="none"/>
        </w:rPr>
      </w:pPr>
      <w:r>
        <w:rPr>
          <w:rFonts w:hint="eastAsia" w:ascii="宋体" w:hAnsi="Times New Roman" w:eastAsia="宋体" w:cs="宋体"/>
          <w:bCs/>
          <w:color w:val="auto"/>
          <w:kern w:val="0"/>
          <w:szCs w:val="21"/>
          <w:highlight w:val="none"/>
          <w:lang w:val="en-US" w:eastAsia="zh-CN"/>
        </w:rPr>
        <w:t>保证螺杆压缩机润滑、冷却、密封性能，延长轴承及转子寿命清除油路杂质、金属碎屑，防止油路堵塞、油泵损坏去除冷媒系统水分、杂质，避免冰堵、腐蚀、电机绝缘下降降低能耗，保证机组满负荷稳定运行，减少故障停机。</w:t>
      </w:r>
    </w:p>
    <w:p w14:paraId="3B3B8A2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（2）前期准备</w:t>
      </w:r>
    </w:p>
    <w:p w14:paraId="1AC8FFCA">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①人员与安全</w:t>
      </w:r>
    </w:p>
    <w:p w14:paraId="186CF67D">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持证专业制冷维修人员操作、佩戴手套、禁明火，保持通风。</w:t>
      </w:r>
    </w:p>
    <w:p w14:paraId="35ECC20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②工具与材料</w:t>
      </w:r>
    </w:p>
    <w:p w14:paraId="1060EF4E">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特灵指定型号冷冻油、原厂油滤、干燥过滤器、新 O 型圈、真空表、真空泵、加油泵、冷媒回收机、活扳手、管钳、废油桶、抹布、生料带/密封胶等。</w:t>
      </w:r>
    </w:p>
    <w:p w14:paraId="7045A641">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③机组状态确认</w:t>
      </w:r>
    </w:p>
    <w:p w14:paraId="50992A7F">
      <w:pPr>
        <w:widowControl/>
        <w:snapToGrid w:val="0"/>
        <w:spacing w:line="360" w:lineRule="exact"/>
        <w:ind w:firstLine="420" w:firstLineChars="200"/>
        <w:jc w:val="left"/>
        <w:rPr>
          <w:rFonts w:ascii="宋体" w:hAnsi="宋体" w:eastAsia="宋体" w:cs="宋体"/>
          <w:color w:val="auto"/>
          <w:sz w:val="20"/>
          <w:szCs w:val="20"/>
          <w:highlight w:val="none"/>
        </w:rPr>
      </w:pPr>
      <w:r>
        <w:rPr>
          <w:rFonts w:hint="eastAsia" w:ascii="宋体" w:hAnsi="Times New Roman" w:eastAsia="宋体" w:cs="宋体"/>
          <w:bCs/>
          <w:color w:val="auto"/>
          <w:kern w:val="0"/>
          <w:szCs w:val="21"/>
          <w:highlight w:val="none"/>
          <w:lang w:val="en-US" w:eastAsia="zh-CN"/>
        </w:rPr>
        <w:t>停机，油加热器保持通电预热≥8 小时；确认冷媒可正常回收，系统可隔离。</w:t>
      </w:r>
    </w:p>
    <w:p w14:paraId="28F8EFE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（3）详细操作步骤</w:t>
      </w:r>
    </w:p>
    <w:p w14:paraId="0AD7391B">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①冷冻油更换</w:t>
      </w:r>
    </w:p>
    <w:p w14:paraId="45BDD70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系统隔离与泄压</w:t>
      </w:r>
    </w:p>
    <w:p w14:paraId="0A223548">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关闭吸排气阀，将冷媒压入冷凝器；油槽缓慢泄压至常压；排放旧油</w:t>
      </w:r>
    </w:p>
    <w:p w14:paraId="447DA7B0">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打开油槽底部放油阀，放出旧油；注新油</w:t>
      </w:r>
    </w:p>
    <w:p w14:paraId="1B5DDEB6">
      <w:pPr>
        <w:widowControl/>
        <w:snapToGrid w:val="0"/>
        <w:spacing w:line="360" w:lineRule="exact"/>
        <w:ind w:firstLine="420" w:firstLineChars="200"/>
        <w:jc w:val="left"/>
        <w:rPr>
          <w:rFonts w:ascii="宋体" w:hAnsi="宋体" w:eastAsia="宋体" w:cs="宋体"/>
          <w:color w:val="auto"/>
          <w:sz w:val="20"/>
          <w:szCs w:val="20"/>
          <w:highlight w:val="none"/>
        </w:rPr>
      </w:pPr>
      <w:r>
        <w:rPr>
          <w:rFonts w:hint="eastAsia" w:ascii="宋体" w:hAnsi="Times New Roman" w:eastAsia="宋体" w:cs="宋体"/>
          <w:bCs/>
          <w:color w:val="auto"/>
          <w:kern w:val="0"/>
          <w:szCs w:val="21"/>
          <w:highlight w:val="none"/>
          <w:lang w:val="en-US" w:eastAsia="zh-CN"/>
        </w:rPr>
        <w:t>通过加油泵注入标准量新油至视油镜 1/2～2/3；</w:t>
      </w:r>
    </w:p>
    <w:p w14:paraId="51B5820C">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②油过滤器更换</w:t>
      </w:r>
    </w:p>
    <w:p w14:paraId="2BBB496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关闭油滤前后隔离阀，泄压至0；拆卸旧过滤器，清洁密封面，更换新 O 型圈；安装新油过滤器，均匀上紧，避免偏斜微开阀门检漏。</w:t>
      </w:r>
    </w:p>
    <w:p w14:paraId="2B37FA19">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③干燥过滤器更换</w:t>
      </w:r>
    </w:p>
    <w:p w14:paraId="1D45778F">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关闭过滤器前后阀门，泄压排空拆卸旧过滤器，清理接口杂质装新干燥过滤器及新密封圈对过滤器侧抽真空，保压无泄漏缓慢开启阀门，恢复系统，观察视液镜无气泡。</w:t>
      </w:r>
    </w:p>
    <w:p w14:paraId="7DAFBE12">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（4）开机调试</w:t>
      </w:r>
    </w:p>
    <w:p w14:paraId="2B5A6095">
      <w:pPr>
        <w:widowControl/>
        <w:snapToGrid w:val="0"/>
        <w:spacing w:line="360" w:lineRule="exact"/>
        <w:ind w:firstLine="420" w:firstLineChars="200"/>
        <w:jc w:val="left"/>
        <w:rPr>
          <w:rFonts w:hint="eastAsia" w:ascii="宋体" w:hAnsi="Times New Roman" w:eastAsia="宋体" w:cs="宋体"/>
          <w:bCs/>
          <w:color w:val="auto"/>
          <w:kern w:val="0"/>
          <w:szCs w:val="21"/>
          <w:highlight w:val="none"/>
          <w:lang w:val="en-US" w:eastAsia="zh-CN"/>
        </w:rPr>
      </w:pPr>
      <w:r>
        <w:rPr>
          <w:rFonts w:hint="eastAsia" w:ascii="宋体" w:hAnsi="Times New Roman" w:eastAsia="宋体" w:cs="宋体"/>
          <w:bCs/>
          <w:color w:val="auto"/>
          <w:kern w:val="0"/>
          <w:szCs w:val="21"/>
          <w:highlight w:val="none"/>
          <w:lang w:val="en-US" w:eastAsia="zh-CN"/>
        </w:rPr>
        <w:t>开机运行调试，冷媒添加调整；油位稳定在视镜中线位置；油压差正常，无报警；排气温度、油温正常，系统无冰堵、无过热；干燥过滤器前后无明显温差，冷媒流动顺畅。</w:t>
      </w:r>
    </w:p>
    <w:p w14:paraId="0476C885">
      <w:pPr>
        <w:ind w:firstLine="422" w:firstLineChars="200"/>
        <w:outlineLvl w:val="1"/>
        <w:rPr>
          <w:rFonts w:hint="eastAsia" w:ascii="宋体" w:hAnsi="宋体" w:cs="宋体"/>
          <w:b/>
          <w:color w:val="auto"/>
          <w:kern w:val="0"/>
          <w:szCs w:val="21"/>
          <w:highlight w:val="none"/>
        </w:rPr>
      </w:pPr>
    </w:p>
    <w:p w14:paraId="1FEC9794">
      <w:pPr>
        <w:ind w:firstLine="422" w:firstLineChars="200"/>
        <w:outlineLvl w:val="1"/>
        <w:rPr>
          <w:rFonts w:hint="eastAsia" w:ascii="宋体" w:hAnsi="宋体" w:cs="宋体"/>
          <w:b/>
          <w:color w:val="auto"/>
          <w:kern w:val="0"/>
          <w:szCs w:val="21"/>
          <w:highlight w:val="none"/>
        </w:rPr>
      </w:pPr>
    </w:p>
    <w:p w14:paraId="66DDB445">
      <w:pPr>
        <w:ind w:firstLine="422" w:firstLineChars="200"/>
        <w:outlineLvl w:val="1"/>
        <w:rPr>
          <w:rFonts w:hint="eastAsia" w:ascii="宋体" w:hAnsi="宋体" w:cs="宋体"/>
          <w:b/>
          <w:color w:val="auto"/>
          <w:kern w:val="0"/>
          <w:szCs w:val="21"/>
          <w:highlight w:val="none"/>
        </w:rPr>
      </w:pPr>
    </w:p>
    <w:p w14:paraId="16F6CE68">
      <w:pPr>
        <w:ind w:firstLine="422" w:firstLineChars="200"/>
        <w:outlineLvl w:val="1"/>
        <w:rPr>
          <w:rFonts w:hint="eastAsia" w:ascii="宋体" w:hAnsi="宋体" w:cs="宋体"/>
          <w:b/>
          <w:color w:val="auto"/>
          <w:kern w:val="0"/>
          <w:szCs w:val="21"/>
          <w:highlight w:val="none"/>
        </w:rPr>
      </w:pPr>
    </w:p>
    <w:p w14:paraId="788DC679">
      <w:pPr>
        <w:ind w:firstLine="422" w:firstLineChars="200"/>
        <w:outlineLvl w:val="1"/>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七、</w:t>
      </w:r>
      <w:r>
        <w:rPr>
          <w:rFonts w:hint="eastAsia" w:ascii="宋体" w:hAnsi="宋体" w:cs="宋体"/>
          <w:b/>
          <w:color w:val="auto"/>
          <w:szCs w:val="21"/>
          <w:highlight w:val="none"/>
        </w:rPr>
        <w:t>服务期限：</w:t>
      </w:r>
      <w:r>
        <w:rPr>
          <w:rFonts w:hint="eastAsia" w:ascii="宋体" w:hAnsi="宋体" w:cs="宋体"/>
          <w:b/>
          <w:color w:val="auto"/>
          <w:szCs w:val="21"/>
          <w:highlight w:val="none"/>
          <w:lang w:val="en-US" w:eastAsia="zh-CN"/>
        </w:rPr>
        <w:t>合同签订之日起一年</w:t>
      </w:r>
      <w:r>
        <w:rPr>
          <w:rFonts w:hint="eastAsia" w:ascii="宋体" w:hAnsi="宋体" w:cs="宋体"/>
          <w:b/>
          <w:color w:val="auto"/>
          <w:szCs w:val="21"/>
          <w:highlight w:val="none"/>
        </w:rPr>
        <w:t>。</w:t>
      </w:r>
    </w:p>
    <w:p w14:paraId="125388FB">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八、</w:t>
      </w:r>
      <w:r>
        <w:rPr>
          <w:rFonts w:hint="eastAsia" w:ascii="宋体" w:hAnsi="宋体" w:cs="宋体"/>
          <w:b/>
          <w:color w:val="auto"/>
          <w:kern w:val="0"/>
          <w:szCs w:val="21"/>
          <w:highlight w:val="none"/>
        </w:rPr>
        <w:t>付款方式</w:t>
      </w:r>
    </w:p>
    <w:p w14:paraId="7AB15568">
      <w:pPr>
        <w:adjustRightInd w:val="0"/>
        <w:snapToGrid w:val="0"/>
        <w:spacing w:line="360" w:lineRule="exact"/>
        <w:ind w:firstLine="422" w:firstLineChars="200"/>
        <w:rPr>
          <w:rFonts w:ascii="宋体" w:hAnsi="宋体" w:cs="宋体"/>
          <w:b/>
          <w:bCs/>
          <w:color w:val="auto"/>
          <w:kern w:val="0"/>
          <w:szCs w:val="21"/>
          <w:highlight w:val="none"/>
        </w:rPr>
      </w:pPr>
      <w:r>
        <w:rPr>
          <w:rFonts w:hint="eastAsia" w:ascii="宋体" w:hAnsi="宋体" w:eastAsia="宋体" w:cs="宋体"/>
          <w:b/>
          <w:color w:val="auto"/>
          <w:szCs w:val="21"/>
          <w:highlight w:val="none"/>
          <w:lang w:eastAsia="zh-CN"/>
        </w:rPr>
        <w:t>合同签订满6个月后采购人向成交供应商支付合同金额的</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剩余</w:t>
      </w:r>
      <w:r>
        <w:rPr>
          <w:rFonts w:hint="eastAsia" w:ascii="宋体" w:hAnsi="宋体" w:eastAsia="宋体" w:cs="宋体"/>
          <w:b/>
          <w:color w:val="auto"/>
          <w:szCs w:val="21"/>
          <w:highlight w:val="none"/>
          <w:lang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eastAsia="zh-CN"/>
        </w:rPr>
        <w:t>%服务期满经验收合格后</w:t>
      </w:r>
      <w:r>
        <w:rPr>
          <w:rFonts w:hint="eastAsia" w:ascii="宋体" w:hAnsi="宋体" w:eastAsia="宋体" w:cs="宋体"/>
          <w:b/>
          <w:color w:val="auto"/>
          <w:szCs w:val="21"/>
          <w:highlight w:val="none"/>
          <w:lang w:val="en-US" w:eastAsia="zh-CN"/>
        </w:rPr>
        <w:t>一次性付清</w:t>
      </w:r>
      <w:r>
        <w:rPr>
          <w:rFonts w:hint="eastAsia" w:ascii="宋体" w:hAnsi="宋体" w:eastAsia="宋体" w:cs="宋体"/>
          <w:b/>
          <w:color w:val="auto"/>
          <w:szCs w:val="21"/>
          <w:highlight w:val="none"/>
          <w:lang w:eastAsia="zh-CN"/>
        </w:rPr>
        <w:t>。</w:t>
      </w:r>
    </w:p>
    <w:p w14:paraId="7E4D7CDE">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九</w:t>
      </w:r>
      <w:r>
        <w:rPr>
          <w:rFonts w:hint="eastAsia" w:ascii="宋体" w:hAnsi="宋体" w:cs="宋体"/>
          <w:b/>
          <w:color w:val="auto"/>
          <w:kern w:val="0"/>
          <w:szCs w:val="21"/>
          <w:highlight w:val="none"/>
        </w:rPr>
        <w:t>、询价响应文件的内容：</w:t>
      </w:r>
    </w:p>
    <w:p w14:paraId="2D84A328">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（一）资格证明材料（提供复印件并</w:t>
      </w:r>
      <w:r>
        <w:rPr>
          <w:rFonts w:ascii="宋体" w:hAnsi="宋体" w:cs="宋体"/>
          <w:b/>
          <w:color w:val="auto"/>
          <w:kern w:val="0"/>
          <w:szCs w:val="21"/>
          <w:highlight w:val="none"/>
        </w:rPr>
        <w:t>加</w:t>
      </w:r>
      <w:r>
        <w:rPr>
          <w:rFonts w:hint="eastAsia" w:ascii="宋体" w:hAnsi="宋体" w:cs="宋体"/>
          <w:b/>
          <w:color w:val="auto"/>
          <w:kern w:val="0"/>
          <w:szCs w:val="21"/>
          <w:highlight w:val="none"/>
        </w:rPr>
        <w:t>盖公章）</w:t>
      </w:r>
    </w:p>
    <w:p w14:paraId="3E252B8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1</w:t>
      </w:r>
      <w:r>
        <w:rPr>
          <w:rFonts w:hint="eastAsia" w:ascii="宋体" w:cs="宋体"/>
          <w:bCs/>
          <w:color w:val="auto"/>
          <w:kern w:val="0"/>
          <w:szCs w:val="21"/>
          <w:highlight w:val="none"/>
        </w:rPr>
        <w:t>）供应商资格声明函（附件1）</w:t>
      </w:r>
    </w:p>
    <w:p w14:paraId="4016FDF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2</w:t>
      </w:r>
      <w:r>
        <w:rPr>
          <w:rFonts w:hint="eastAsia" w:ascii="宋体" w:cs="宋体"/>
          <w:bCs/>
          <w:color w:val="auto"/>
          <w:kern w:val="0"/>
          <w:szCs w:val="21"/>
          <w:highlight w:val="none"/>
        </w:rPr>
        <w:t>）响应函（附件2）</w:t>
      </w:r>
    </w:p>
    <w:p w14:paraId="7DF77051">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★（3）营业执照副本</w:t>
      </w:r>
    </w:p>
    <w:p w14:paraId="6B3CC445">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★（4）</w:t>
      </w:r>
      <w:r>
        <w:rPr>
          <w:rFonts w:hint="eastAsia" w:cs="宋体"/>
          <w:color w:val="auto"/>
          <w:szCs w:val="21"/>
          <w:highlight w:val="none"/>
        </w:rPr>
        <w:t>法定代表人资格证明书、法定代表人身份证复印件（双面）（附件3）</w:t>
      </w:r>
    </w:p>
    <w:p w14:paraId="76441497">
      <w:pPr>
        <w:widowControl/>
        <w:snapToGrid w:val="0"/>
        <w:spacing w:line="360" w:lineRule="exact"/>
        <w:ind w:firstLine="420" w:firstLineChars="200"/>
        <w:jc w:val="left"/>
        <w:rPr>
          <w:rFonts w:ascii="宋体" w:cs="宋体"/>
          <w:bCs/>
          <w:color w:val="auto"/>
          <w:kern w:val="0"/>
          <w:szCs w:val="21"/>
          <w:highlight w:val="none"/>
        </w:rPr>
      </w:pPr>
      <w:r>
        <w:rPr>
          <w:rFonts w:hint="eastAsia" w:ascii="宋体" w:hAnsi="宋体" w:cs="宋体"/>
          <w:bCs/>
          <w:color w:val="auto"/>
          <w:kern w:val="0"/>
          <w:szCs w:val="21"/>
          <w:highlight w:val="none"/>
        </w:rPr>
        <w:t>★（5）授权委托书、代理人身份证复印件（双面）（如果有授权委托情况的，必须提供）（附件4）</w:t>
      </w:r>
    </w:p>
    <w:p w14:paraId="3C4A642E">
      <w:pPr>
        <w:widowControl/>
        <w:snapToGrid w:val="0"/>
        <w:spacing w:line="360" w:lineRule="exact"/>
        <w:ind w:firstLine="422" w:firstLineChars="200"/>
        <w:jc w:val="left"/>
        <w:rPr>
          <w:rFonts w:hint="eastAsia" w:ascii="宋体" w:hAnsi="宋体" w:eastAsia="宋体" w:cs="宋体"/>
          <w:b/>
          <w:color w:val="auto"/>
          <w:kern w:val="0"/>
          <w:szCs w:val="21"/>
          <w:highlight w:val="none"/>
          <w:lang w:eastAsia="zh-CN"/>
        </w:rPr>
      </w:pPr>
      <w:r>
        <w:rPr>
          <w:rFonts w:hint="eastAsia" w:ascii="宋体" w:hAnsi="宋体" w:cs="宋体"/>
          <w:b/>
          <w:bCs w:val="0"/>
          <w:color w:val="auto"/>
          <w:kern w:val="0"/>
          <w:szCs w:val="21"/>
          <w:highlight w:val="none"/>
        </w:rPr>
        <w:t>★</w:t>
      </w:r>
      <w:r>
        <w:rPr>
          <w:rFonts w:hint="eastAsia" w:ascii="Times New Roman" w:hAnsi="Times New Roman" w:eastAsia="宋体" w:cs="宋体"/>
          <w:b/>
          <w:bCs w:val="0"/>
          <w:color w:val="auto"/>
          <w:szCs w:val="21"/>
          <w:highlight w:val="none"/>
          <w:lang w:eastAsia="zh-CN"/>
        </w:rPr>
        <w:t>（</w:t>
      </w:r>
      <w:r>
        <w:rPr>
          <w:rFonts w:hint="eastAsia" w:ascii="宋体" w:hAnsi="宋体" w:eastAsia="宋体" w:cs="宋体"/>
          <w:b/>
          <w:bCs w:val="0"/>
          <w:color w:val="auto"/>
          <w:kern w:val="0"/>
          <w:szCs w:val="21"/>
          <w:highlight w:val="none"/>
          <w:lang w:val="en-US" w:eastAsia="zh-CN"/>
        </w:rPr>
        <w:t>6</w:t>
      </w:r>
      <w:r>
        <w:rPr>
          <w:rFonts w:hint="eastAsia" w:ascii="Times New Roman" w:hAnsi="Times New Roman" w:eastAsia="宋体" w:cs="宋体"/>
          <w:b/>
          <w:bCs w:val="0"/>
          <w:color w:val="auto"/>
          <w:szCs w:val="21"/>
          <w:highlight w:val="none"/>
          <w:lang w:eastAsia="zh-CN"/>
        </w:rPr>
        <w:t>）其他特定要求：供应商具有有效期内的空调维修资质证书及安全生产合格证。</w:t>
      </w:r>
    </w:p>
    <w:p w14:paraId="36A39548">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4CE25244">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300DF307">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71574F8A">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3.</w:t>
      </w:r>
      <w:r>
        <w:rPr>
          <w:rFonts w:hint="eastAsia" w:ascii="宋体" w:cs="宋体"/>
          <w:bCs/>
          <w:color w:val="auto"/>
          <w:kern w:val="0"/>
          <w:szCs w:val="21"/>
          <w:highlight w:val="none"/>
        </w:rPr>
        <w:t>服务承诺书（附件7）</w:t>
      </w:r>
    </w:p>
    <w:p w14:paraId="1A88F1AA">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4.</w:t>
      </w:r>
      <w:r>
        <w:rPr>
          <w:rFonts w:hint="eastAsia" w:ascii="宋体" w:cs="宋体"/>
          <w:bCs/>
          <w:color w:val="auto"/>
          <w:kern w:val="0"/>
          <w:szCs w:val="21"/>
          <w:highlight w:val="none"/>
        </w:rPr>
        <w:t>偏离表（附件8）</w:t>
      </w:r>
    </w:p>
    <w:p w14:paraId="2AC50DCF">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5.</w:t>
      </w:r>
      <w:r>
        <w:rPr>
          <w:rFonts w:hint="eastAsia" w:ascii="宋体" w:cs="宋体"/>
          <w:bCs/>
          <w:color w:val="auto"/>
          <w:kern w:val="0"/>
          <w:szCs w:val="21"/>
          <w:highlight w:val="none"/>
        </w:rPr>
        <w:t>其他资料</w:t>
      </w:r>
    </w:p>
    <w:p w14:paraId="2173BADD">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279ECF14">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1.本询价通知书中所有带“★”内容均必须提供并加盖供应商公章，否则将作为无效响应文件处理。</w:t>
      </w:r>
    </w:p>
    <w:p w14:paraId="245A1BFF">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2.供应商应保证所提供的上述资料的真实性和合法性。</w:t>
      </w:r>
    </w:p>
    <w:p w14:paraId="1FBDD33B">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bCs/>
          <w:color w:val="auto"/>
          <w:kern w:val="0"/>
          <w:szCs w:val="21"/>
          <w:highlight w:val="none"/>
        </w:rPr>
        <w:t>3.询价响应文件</w:t>
      </w:r>
      <w:r>
        <w:rPr>
          <w:rFonts w:hint="eastAsia" w:ascii="宋体" w:cs="宋体"/>
          <w:color w:val="auto"/>
          <w:kern w:val="0"/>
          <w:szCs w:val="21"/>
          <w:highlight w:val="none"/>
        </w:rPr>
        <w:t>中复印件需加盖供应商公章。</w:t>
      </w:r>
    </w:p>
    <w:p w14:paraId="3CFF1494">
      <w:pPr>
        <w:spacing w:line="360" w:lineRule="exact"/>
        <w:ind w:firstLine="420" w:firstLineChars="200"/>
        <w:rPr>
          <w:rFonts w:hint="eastAsia" w:ascii="宋体" w:cs="宋体"/>
          <w:b/>
          <w:bCs/>
          <w:color w:val="auto"/>
          <w:kern w:val="0"/>
          <w:szCs w:val="21"/>
          <w:highlight w:val="none"/>
        </w:rPr>
      </w:pPr>
      <w:r>
        <w:rPr>
          <w:rFonts w:ascii="宋体" w:cs="宋体"/>
          <w:color w:val="auto"/>
          <w:kern w:val="0"/>
          <w:szCs w:val="21"/>
          <w:highlight w:val="none"/>
        </w:rPr>
        <w:t>4.</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w:t>
      </w:r>
      <w:r>
        <w:rPr>
          <w:rFonts w:hint="eastAsia" w:ascii="宋体" w:cs="宋体"/>
          <w:b/>
          <w:color w:val="auto"/>
          <w:kern w:val="0"/>
          <w:szCs w:val="21"/>
          <w:highlight w:val="none"/>
          <w:lang w:val="en-US" w:eastAsia="zh-CN"/>
        </w:rPr>
        <w:t>盖章版</w:t>
      </w:r>
      <w:r>
        <w:rPr>
          <w:rFonts w:hint="eastAsia" w:ascii="宋体" w:cs="宋体"/>
          <w:b/>
          <w:color w:val="auto"/>
          <w:kern w:val="0"/>
          <w:szCs w:val="21"/>
          <w:highlight w:val="none"/>
        </w:rPr>
        <w:t>“电子文档”（载体采用“电子光盘”或“U盘”，内容包含全套</w:t>
      </w:r>
      <w:r>
        <w:rPr>
          <w:rFonts w:hint="eastAsia" w:ascii="宋体" w:cs="宋体"/>
          <w:b/>
          <w:color w:val="auto"/>
          <w:kern w:val="0"/>
          <w:szCs w:val="21"/>
          <w:highlight w:val="none"/>
          <w:lang w:val="en-US" w:eastAsia="zh-CN"/>
        </w:rPr>
        <w:t>盖章版</w:t>
      </w:r>
      <w:r>
        <w:rPr>
          <w:rFonts w:hint="eastAsia" w:ascii="宋体" w:cs="宋体"/>
          <w:b/>
          <w:color w:val="auto"/>
          <w:kern w:val="0"/>
          <w:szCs w:val="21"/>
          <w:highlight w:val="none"/>
        </w:rPr>
        <w:t>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封袋上都应当</w:t>
      </w:r>
      <w:r>
        <w:rPr>
          <w:rFonts w:hint="eastAsia" w:ascii="宋体" w:hAnsi="宋体" w:cs="宋体"/>
          <w:color w:val="auto"/>
          <w:szCs w:val="21"/>
          <w:highlight w:val="none"/>
        </w:rPr>
        <w:t>加盖供应商公章。纸质版投标文件正本和副本如有不一致之处，以纸质版正本为准。</w:t>
      </w:r>
      <w:r>
        <w:rPr>
          <w:rFonts w:hint="eastAsia" w:ascii="宋体" w:hAnsi="宋体" w:cs="宋体"/>
          <w:b/>
          <w:bCs/>
          <w:color w:val="auto"/>
          <w:szCs w:val="21"/>
          <w:highlight w:val="none"/>
          <w:lang w:val="en-US" w:eastAsia="zh-CN"/>
        </w:rPr>
        <w:t>供应商应同时在代理机构“网络招标线询价”系统报价，</w:t>
      </w:r>
      <w:r>
        <w:rPr>
          <w:rFonts w:hint="eastAsia" w:ascii="宋体" w:cs="宋体"/>
          <w:b/>
          <w:bCs/>
          <w:color w:val="auto"/>
          <w:kern w:val="0"/>
          <w:szCs w:val="21"/>
          <w:highlight w:val="none"/>
        </w:rPr>
        <w:t>否则</w:t>
      </w:r>
      <w:r>
        <w:rPr>
          <w:rFonts w:hint="eastAsia" w:ascii="宋体" w:cs="宋体"/>
          <w:b/>
          <w:bCs/>
          <w:color w:val="auto"/>
          <w:kern w:val="0"/>
          <w:szCs w:val="21"/>
          <w:highlight w:val="none"/>
          <w:lang w:val="en-US" w:eastAsia="zh-CN"/>
        </w:rPr>
        <w:t>视为</w:t>
      </w:r>
      <w:r>
        <w:rPr>
          <w:rFonts w:hint="eastAsia" w:ascii="宋体" w:cs="宋体"/>
          <w:b/>
          <w:bCs/>
          <w:color w:val="auto"/>
          <w:kern w:val="0"/>
          <w:szCs w:val="21"/>
          <w:highlight w:val="none"/>
        </w:rPr>
        <w:t>无效响应。</w:t>
      </w:r>
    </w:p>
    <w:p w14:paraId="601977FA">
      <w:pPr>
        <w:spacing w:line="360" w:lineRule="exact"/>
        <w:ind w:firstLine="422" w:firstLineChars="200"/>
        <w:rPr>
          <w:rFonts w:ascii="宋体" w:cs="Arial"/>
          <w:b/>
          <w:color w:val="auto"/>
          <w:szCs w:val="21"/>
          <w:highlight w:val="none"/>
        </w:rPr>
      </w:pPr>
      <w:r>
        <w:rPr>
          <w:rFonts w:hint="eastAsia" w:ascii="宋体" w:hAnsi="宋体" w:cs="宋体"/>
          <w:b/>
          <w:color w:val="auto"/>
          <w:kern w:val="0"/>
          <w:szCs w:val="21"/>
          <w:highlight w:val="none"/>
          <w:lang w:val="en-US" w:eastAsia="zh-CN"/>
        </w:rPr>
        <w:t>十</w:t>
      </w:r>
      <w:r>
        <w:rPr>
          <w:rFonts w:hint="eastAsia" w:ascii="宋体" w:hAnsi="宋体" w:cs="宋体"/>
          <w:b/>
          <w:color w:val="auto"/>
          <w:kern w:val="0"/>
          <w:szCs w:val="21"/>
          <w:highlight w:val="none"/>
        </w:rPr>
        <w:t>、报价要求</w:t>
      </w:r>
    </w:p>
    <w:p w14:paraId="49061A94">
      <w:pPr>
        <w:widowControl/>
        <w:snapToGrid w:val="0"/>
        <w:spacing w:line="360" w:lineRule="exact"/>
        <w:ind w:firstLine="420" w:firstLineChars="200"/>
        <w:jc w:val="left"/>
        <w:rPr>
          <w:rFonts w:ascii="宋体" w:hAnsi="宋体" w:cs="宋体"/>
          <w:b/>
          <w:color w:val="auto"/>
          <w:highlight w:val="none"/>
        </w:rPr>
      </w:pPr>
      <w:r>
        <w:rPr>
          <w:rFonts w:hint="eastAsia" w:ascii="宋体" w:cs="Arial"/>
          <w:color w:val="auto"/>
          <w:szCs w:val="21"/>
          <w:highlight w:val="none"/>
        </w:rPr>
        <w:t>本项目报价为</w:t>
      </w:r>
      <w:r>
        <w:rPr>
          <w:rFonts w:hint="eastAsia" w:ascii="宋体" w:cs="Arial"/>
          <w:b/>
          <w:color w:val="auto"/>
          <w:szCs w:val="21"/>
          <w:highlight w:val="none"/>
          <w:u w:val="single"/>
        </w:rPr>
        <w:t>固定总价</w:t>
      </w:r>
      <w:r>
        <w:rPr>
          <w:rFonts w:hint="eastAsia" w:ascii="宋体" w:cs="Arial"/>
          <w:b/>
          <w:color w:val="auto"/>
          <w:szCs w:val="21"/>
          <w:highlight w:val="none"/>
        </w:rPr>
        <w:t>，</w:t>
      </w:r>
      <w:r>
        <w:rPr>
          <w:rFonts w:hint="eastAsia" w:ascii="宋体" w:cs="Arial"/>
          <w:color w:val="auto"/>
          <w:szCs w:val="21"/>
          <w:highlight w:val="none"/>
        </w:rPr>
        <w:t>总价应包括询价通知书所确定的采购范围相应服务的提供</w:t>
      </w:r>
      <w:r>
        <w:rPr>
          <w:rFonts w:hint="eastAsia" w:ascii="宋体" w:cs="Arial"/>
          <w:color w:val="auto"/>
          <w:szCs w:val="21"/>
          <w:highlight w:val="none"/>
          <w:lang w:eastAsia="zh-CN"/>
        </w:rPr>
        <w:t>（包含原厂专用耗材更换、管路通炮清洗、系统检测调试全流程作业</w:t>
      </w:r>
      <w:r>
        <w:rPr>
          <w:rFonts w:hint="eastAsia" w:ascii="宋体" w:cs="Arial"/>
          <w:color w:val="auto"/>
          <w:szCs w:val="21"/>
          <w:highlight w:val="none"/>
          <w:lang w:val="en-US" w:eastAsia="zh-CN"/>
        </w:rPr>
        <w:t>等</w:t>
      </w:r>
      <w:r>
        <w:rPr>
          <w:rFonts w:hint="eastAsia" w:ascii="宋体" w:cs="Arial"/>
          <w:color w:val="auto"/>
          <w:szCs w:val="21"/>
          <w:highlight w:val="none"/>
          <w:lang w:eastAsia="zh-CN"/>
        </w:rPr>
        <w:t>）</w:t>
      </w:r>
      <w:r>
        <w:rPr>
          <w:rFonts w:hint="eastAsia" w:ascii="宋体" w:cs="Arial"/>
          <w:color w:val="auto"/>
          <w:szCs w:val="21"/>
          <w:highlight w:val="none"/>
        </w:rPr>
        <w:t>、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6A16A38">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十一</w:t>
      </w:r>
      <w:r>
        <w:rPr>
          <w:rFonts w:hint="eastAsia" w:ascii="宋体" w:hAnsi="宋体" w:cs="宋体"/>
          <w:b/>
          <w:color w:val="auto"/>
          <w:kern w:val="0"/>
          <w:szCs w:val="21"/>
          <w:highlight w:val="none"/>
        </w:rPr>
        <w:t>、评审、定标方法</w:t>
      </w:r>
    </w:p>
    <w:p w14:paraId="02F8B141">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b/>
          <w:color w:val="auto"/>
          <w:kern w:val="0"/>
          <w:szCs w:val="21"/>
          <w:highlight w:val="none"/>
        </w:rPr>
        <w:t>报价在采购预算价格及最高限价以下的，为</w:t>
      </w:r>
      <w:r>
        <w:rPr>
          <w:rFonts w:hint="eastAsia" w:ascii="宋体" w:cs="宋体"/>
          <w:b/>
          <w:color w:val="auto"/>
          <w:kern w:val="0"/>
          <w:szCs w:val="21"/>
          <w:highlight w:val="none"/>
        </w:rPr>
        <w:t>有效报价。</w:t>
      </w:r>
      <w:r>
        <w:rPr>
          <w:rFonts w:hint="eastAsia" w:ascii="宋体" w:cs="宋体"/>
          <w:color w:val="auto"/>
          <w:kern w:val="0"/>
          <w:szCs w:val="21"/>
          <w:highlight w:val="none"/>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67EE2142">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十二</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1AAE1BA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28BBF860">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十三</w:t>
      </w:r>
      <w:r>
        <w:rPr>
          <w:rFonts w:hint="eastAsia" w:ascii="宋体" w:hAnsi="宋体" w:cs="宋体"/>
          <w:b/>
          <w:color w:val="auto"/>
          <w:kern w:val="0"/>
          <w:szCs w:val="21"/>
          <w:highlight w:val="none"/>
        </w:rPr>
        <w:t>、成交通知书</w:t>
      </w:r>
    </w:p>
    <w:p w14:paraId="6155E081">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6F18BCAA">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十四</w:t>
      </w:r>
      <w:r>
        <w:rPr>
          <w:rFonts w:hint="eastAsia" w:ascii="宋体" w:hAnsi="宋体" w:cs="宋体"/>
          <w:b/>
          <w:color w:val="auto"/>
          <w:kern w:val="0"/>
          <w:szCs w:val="21"/>
          <w:highlight w:val="none"/>
        </w:rPr>
        <w:t>、代理机构服务费</w:t>
      </w:r>
    </w:p>
    <w:p w14:paraId="57B9B6C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成交供应商须按成交金额的1.5</w:t>
      </w:r>
      <w:r>
        <w:rPr>
          <w:rFonts w:ascii="宋体" w:hAnsi="宋体" w:cs="宋体"/>
          <w:color w:val="auto"/>
          <w:szCs w:val="21"/>
          <w:highlight w:val="none"/>
        </w:rPr>
        <w:t>%计算并支付成交服务费</w:t>
      </w:r>
      <w:r>
        <w:rPr>
          <w:rFonts w:hint="eastAsia" w:ascii="宋体" w:hAnsi="宋体" w:cs="宋体"/>
          <w:color w:val="auto"/>
          <w:szCs w:val="21"/>
          <w:highlight w:val="none"/>
        </w:rPr>
        <w:t>；不足人民币500元的，按人民币500元收取。</w:t>
      </w:r>
      <w:r>
        <w:rPr>
          <w:rFonts w:ascii="宋体" w:hAnsi="宋体" w:cs="宋体"/>
          <w:color w:val="auto"/>
          <w:szCs w:val="21"/>
          <w:highlight w:val="none"/>
        </w:rPr>
        <w:t>该费用应在</w:t>
      </w:r>
      <w:r>
        <w:rPr>
          <w:rFonts w:hint="eastAsia" w:ascii="宋体" w:hAnsi="宋体" w:cs="宋体"/>
          <w:color w:val="auto"/>
          <w:szCs w:val="21"/>
          <w:highlight w:val="none"/>
        </w:rPr>
        <w:t>领取</w:t>
      </w:r>
      <w:r>
        <w:rPr>
          <w:rFonts w:ascii="宋体" w:hAnsi="宋体" w:cs="宋体"/>
          <w:color w:val="auto"/>
          <w:szCs w:val="21"/>
          <w:highlight w:val="none"/>
        </w:rPr>
        <w:t>成交通知书</w:t>
      </w:r>
      <w:r>
        <w:rPr>
          <w:rFonts w:hint="eastAsia" w:ascii="宋体" w:hAnsi="宋体" w:cs="宋体"/>
          <w:color w:val="auto"/>
          <w:szCs w:val="21"/>
          <w:highlight w:val="none"/>
        </w:rPr>
        <w:t>时</w:t>
      </w:r>
      <w:r>
        <w:rPr>
          <w:rFonts w:ascii="宋体" w:hAnsi="宋体" w:cs="宋体"/>
          <w:color w:val="auto"/>
          <w:szCs w:val="21"/>
          <w:highlight w:val="none"/>
        </w:rPr>
        <w:t>付至</w:t>
      </w:r>
      <w:r>
        <w:rPr>
          <w:rFonts w:hint="eastAsia" w:ascii="宋体" w:hAnsi="宋体" w:cs="宋体"/>
          <w:color w:val="auto"/>
          <w:szCs w:val="21"/>
          <w:highlight w:val="none"/>
        </w:rPr>
        <w:t>常州市城投建设工程招标有限公司账户。</w:t>
      </w:r>
      <w:r>
        <w:rPr>
          <w:rFonts w:ascii="宋体" w:hAnsi="宋体" w:cs="宋体"/>
          <w:color w:val="auto"/>
          <w:szCs w:val="21"/>
          <w:highlight w:val="none"/>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08FAA1E">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十五</w:t>
      </w:r>
      <w:r>
        <w:rPr>
          <w:rFonts w:hint="eastAsia" w:ascii="宋体" w:hAnsi="宋体" w:cs="宋体"/>
          <w:b/>
          <w:color w:val="auto"/>
          <w:kern w:val="0"/>
          <w:szCs w:val="21"/>
          <w:highlight w:val="none"/>
        </w:rPr>
        <w:t>、合同签订</w:t>
      </w:r>
    </w:p>
    <w:p w14:paraId="6DFD8A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成交供应商应在</w:t>
      </w:r>
      <w:r>
        <w:rPr>
          <w:rFonts w:ascii="宋体" w:hAnsi="宋体" w:cs="宋体"/>
          <w:color w:val="auto"/>
          <w:szCs w:val="21"/>
          <w:highlight w:val="none"/>
        </w:rPr>
        <w:t>成交通知书发出之日起三十日内</w:t>
      </w:r>
      <w:r>
        <w:rPr>
          <w:rFonts w:hint="eastAsia" w:ascii="宋体" w:hAnsi="宋体" w:cs="宋体"/>
          <w:color w:val="auto"/>
          <w:szCs w:val="21"/>
          <w:highlight w:val="none"/>
        </w:rPr>
        <w:t>按成交通知书规定的时间、地点与采购人签订采购合同。</w:t>
      </w:r>
    </w:p>
    <w:p w14:paraId="741A25F2">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十六</w:t>
      </w:r>
      <w:r>
        <w:rPr>
          <w:rFonts w:hint="eastAsia" w:ascii="宋体" w:hAnsi="宋体" w:cs="宋体"/>
          <w:b/>
          <w:color w:val="auto"/>
          <w:kern w:val="0"/>
          <w:szCs w:val="21"/>
          <w:highlight w:val="none"/>
        </w:rPr>
        <w:t>、合同主要条款</w:t>
      </w:r>
    </w:p>
    <w:p w14:paraId="77047A9F">
      <w:pPr>
        <w:pStyle w:val="11"/>
        <w:spacing w:line="400" w:lineRule="exact"/>
        <w:rPr>
          <w:rFonts w:eastAsia="宋体" w:cs="宋体"/>
          <w:color w:val="auto"/>
          <w:sz w:val="21"/>
          <w:szCs w:val="21"/>
          <w:highlight w:val="none"/>
        </w:rPr>
      </w:pPr>
      <w:bookmarkStart w:id="0" w:name="OLE_LINK1"/>
      <w:r>
        <w:rPr>
          <w:rFonts w:hint="eastAsia" w:eastAsia="宋体" w:cs="宋体"/>
          <w:b/>
          <w:color w:val="auto"/>
          <w:sz w:val="21"/>
          <w:szCs w:val="21"/>
          <w:highlight w:val="none"/>
          <w:lang w:val="zh-CN"/>
        </w:rPr>
        <w:t>采购人（以下称甲</w:t>
      </w:r>
      <w:r>
        <w:rPr>
          <w:rFonts w:hint="eastAsia" w:eastAsia="宋体" w:cs="宋体"/>
          <w:b/>
          <w:color w:val="auto"/>
          <w:sz w:val="21"/>
          <w:szCs w:val="21"/>
          <w:highlight w:val="none"/>
        </w:rPr>
        <w:t xml:space="preserve">方）:                       </w:t>
      </w:r>
      <w:r>
        <w:rPr>
          <w:rFonts w:hint="eastAsia" w:eastAsia="宋体" w:cs="宋体"/>
          <w:color w:val="auto"/>
          <w:sz w:val="21"/>
          <w:szCs w:val="21"/>
          <w:highlight w:val="none"/>
        </w:rPr>
        <w:t>合同编号：</w:t>
      </w:r>
    </w:p>
    <w:p w14:paraId="5AEA0FFF">
      <w:pPr>
        <w:pStyle w:val="11"/>
        <w:spacing w:line="400" w:lineRule="exact"/>
        <w:rPr>
          <w:rFonts w:eastAsia="宋体" w:cs="宋体"/>
          <w:color w:val="auto"/>
          <w:sz w:val="21"/>
          <w:szCs w:val="21"/>
          <w:highlight w:val="none"/>
          <w:u w:val="single"/>
        </w:rPr>
      </w:pPr>
      <w:r>
        <w:rPr>
          <w:rFonts w:hint="eastAsia" w:eastAsia="宋体" w:cs="宋体"/>
          <w:b/>
          <w:color w:val="auto"/>
          <w:sz w:val="21"/>
          <w:szCs w:val="21"/>
          <w:highlight w:val="none"/>
        </w:rPr>
        <w:t>供应商（</w:t>
      </w:r>
      <w:r>
        <w:rPr>
          <w:rFonts w:hint="eastAsia" w:eastAsia="宋体" w:cs="宋体"/>
          <w:b/>
          <w:color w:val="auto"/>
          <w:sz w:val="21"/>
          <w:szCs w:val="21"/>
          <w:highlight w:val="none"/>
          <w:lang w:val="zh-CN"/>
        </w:rPr>
        <w:t>以下称</w:t>
      </w:r>
      <w:r>
        <w:rPr>
          <w:rFonts w:hint="eastAsia" w:eastAsia="宋体" w:cs="宋体"/>
          <w:b/>
          <w:color w:val="auto"/>
          <w:sz w:val="21"/>
          <w:szCs w:val="21"/>
          <w:highlight w:val="none"/>
        </w:rPr>
        <w:t xml:space="preserve">乙方）:                       </w:t>
      </w:r>
      <w:r>
        <w:rPr>
          <w:rFonts w:hint="eastAsia" w:eastAsia="宋体" w:cs="宋体"/>
          <w:color w:val="auto"/>
          <w:sz w:val="21"/>
          <w:szCs w:val="21"/>
          <w:highlight w:val="none"/>
        </w:rPr>
        <w:t>签订地点：</w:t>
      </w:r>
    </w:p>
    <w:p w14:paraId="06CC5845">
      <w:pPr>
        <w:pStyle w:val="5"/>
        <w:spacing w:line="400" w:lineRule="exact"/>
        <w:ind w:firstLine="4620" w:firstLineChars="2200"/>
        <w:rPr>
          <w:rFonts w:hAnsi="宋体" w:cs="宋体"/>
          <w:b/>
          <w:color w:val="auto"/>
          <w:sz w:val="21"/>
          <w:szCs w:val="21"/>
          <w:highlight w:val="none"/>
        </w:rPr>
      </w:pPr>
      <w:r>
        <w:rPr>
          <w:rFonts w:hint="eastAsia" w:hAnsi="宋体" w:cs="宋体"/>
          <w:color w:val="auto"/>
          <w:sz w:val="21"/>
          <w:szCs w:val="21"/>
          <w:highlight w:val="none"/>
        </w:rPr>
        <w:t xml:space="preserve">合同时间: </w:t>
      </w:r>
      <w:r>
        <w:rPr>
          <w:rFonts w:hint="eastAsia" w:hAnsi="宋体" w:cs="宋体"/>
          <w:color w:val="auto"/>
          <w:sz w:val="21"/>
          <w:szCs w:val="21"/>
          <w:highlight w:val="none"/>
          <w:u w:val="single"/>
        </w:rPr>
        <w:t xml:space="preserve">    年   月   日</w:t>
      </w:r>
    </w:p>
    <w:p w14:paraId="547191CE">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甲乙双方依据《中华人民共和国民法典》以及有关法律、法规的规定，经协商一致，订立本合同，以便共同遵守。</w:t>
      </w:r>
    </w:p>
    <w:p w14:paraId="0FF807AB">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第一条 合同标的</w:t>
      </w:r>
    </w:p>
    <w:p w14:paraId="78C10C6D">
      <w:pPr>
        <w:widowControl/>
        <w:adjustRightInd w:val="0"/>
        <w:spacing w:line="360" w:lineRule="exact"/>
        <w:ind w:firstLine="424" w:firstLineChars="202"/>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乙方根据甲方需求提供下列服务：         ，</w:t>
      </w:r>
      <w:r>
        <w:rPr>
          <w:rFonts w:hint="eastAsia" w:ascii="宋体" w:hAnsi="宋体" w:cs="宋体"/>
          <w:color w:val="auto"/>
          <w:szCs w:val="21"/>
          <w:highlight w:val="none"/>
        </w:rPr>
        <w:t>系指根据合同规定乙方须承担与服务有关的所有辅助服务</w:t>
      </w:r>
      <w:r>
        <w:rPr>
          <w:rFonts w:hint="eastAsia" w:ascii="宋体" w:hAnsi="宋体" w:cs="宋体"/>
          <w:color w:val="auto"/>
          <w:kern w:val="0"/>
          <w:szCs w:val="21"/>
          <w:highlight w:val="none"/>
          <w:lang w:val="zh-CN"/>
        </w:rPr>
        <w:t>。</w:t>
      </w:r>
    </w:p>
    <w:p w14:paraId="1C0D8202">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第二条 合同价格</w:t>
      </w:r>
    </w:p>
    <w:p w14:paraId="5701E42F">
      <w:pPr>
        <w:pStyle w:val="11"/>
        <w:spacing w:line="360" w:lineRule="exact"/>
        <w:ind w:firstLine="426" w:firstLineChars="202"/>
        <w:jc w:val="left"/>
        <w:rPr>
          <w:rFonts w:eastAsia="宋体" w:cs="宋体"/>
          <w:b/>
          <w:color w:val="auto"/>
          <w:sz w:val="21"/>
          <w:szCs w:val="21"/>
          <w:highlight w:val="none"/>
        </w:rPr>
      </w:pPr>
      <w:r>
        <w:rPr>
          <w:rFonts w:hint="eastAsia" w:eastAsia="宋体" w:cs="宋体"/>
          <w:b/>
          <w:color w:val="auto"/>
          <w:sz w:val="21"/>
          <w:szCs w:val="21"/>
          <w:highlight w:val="none"/>
        </w:rPr>
        <w:t>签约合同总价（人民币，下同）：</w:t>
      </w:r>
      <w:r>
        <w:rPr>
          <w:rFonts w:hint="eastAsia" w:eastAsia="宋体" w:cs="宋体"/>
          <w:b/>
          <w:color w:val="auto"/>
          <w:sz w:val="21"/>
          <w:szCs w:val="21"/>
          <w:highlight w:val="none"/>
          <w:u w:val="single"/>
        </w:rPr>
        <w:t xml:space="preserve">             元</w:t>
      </w:r>
      <w:r>
        <w:rPr>
          <w:rFonts w:hint="eastAsia" w:eastAsia="宋体" w:cs="宋体"/>
          <w:b/>
          <w:color w:val="auto"/>
          <w:sz w:val="21"/>
          <w:szCs w:val="21"/>
          <w:highlight w:val="none"/>
        </w:rPr>
        <w:t xml:space="preserve">（小写       ）。 </w:t>
      </w:r>
    </w:p>
    <w:p w14:paraId="6F6820D7">
      <w:pPr>
        <w:pStyle w:val="11"/>
        <w:spacing w:line="360" w:lineRule="exact"/>
        <w:ind w:firstLine="424" w:firstLineChars="202"/>
        <w:rPr>
          <w:rFonts w:eastAsia="宋体" w:cs="宋体"/>
          <w:color w:val="auto"/>
          <w:sz w:val="21"/>
          <w:szCs w:val="21"/>
          <w:highlight w:val="none"/>
        </w:rPr>
      </w:pPr>
      <w:r>
        <w:rPr>
          <w:rFonts w:hint="eastAsia" w:ascii="宋体" w:hAnsi="宋体" w:eastAsia="宋体" w:cs="宋体"/>
          <w:color w:val="auto"/>
          <w:sz w:val="21"/>
          <w:szCs w:val="21"/>
          <w:highlight w:val="none"/>
        </w:rPr>
        <w:t>本合同总价包括询价通知书所确定的采购范围相应服务的提供</w:t>
      </w:r>
      <w:r>
        <w:rPr>
          <w:rFonts w:hint="eastAsia" w:ascii="宋体" w:hAnsi="宋体" w:eastAsia="宋体" w:cs="宋体"/>
          <w:color w:val="auto"/>
          <w:sz w:val="21"/>
          <w:szCs w:val="21"/>
          <w:highlight w:val="none"/>
          <w:lang w:eastAsia="zh-CN"/>
        </w:rPr>
        <w:t>（包含原厂专用耗材更换、管路通炮清洗、系统检测调试全流程作业</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、人员（包括工资和补贴）、办公场所及设施、保险、劳保、管理、各种税费、利润、税金、政策性</w:t>
      </w:r>
      <w:r>
        <w:rPr>
          <w:rFonts w:hint="eastAsia" w:eastAsia="宋体" w:cs="宋体"/>
          <w:color w:val="auto"/>
          <w:sz w:val="21"/>
          <w:szCs w:val="21"/>
          <w:highlight w:val="none"/>
        </w:rPr>
        <w:t>文件规定及合同包含的所有风险、责任等各项应有费用，以及为完成该项服务项目所涉及到的一切相关费用，采购人不再支付其他任何费用。</w:t>
      </w:r>
    </w:p>
    <w:p w14:paraId="3055ECB5">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本合同总价款还包含乙方应当提供的伴随服务/售后服务费用。</w:t>
      </w:r>
    </w:p>
    <w:p w14:paraId="65CFEA6E">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0F374AAB">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下列与本次采购活动有关的文件及有关附件是本合同不可分割的组成部分，与本合同具有同等法律效力，这些文件包括但不限于：</w:t>
      </w:r>
    </w:p>
    <w:p w14:paraId="6CAAF0E2">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 xml:space="preserve">（1）询价通知书（编号：   ）              （2）乙方提供的询价响应文件； </w:t>
      </w:r>
    </w:p>
    <w:p w14:paraId="6F25B467">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（3）成交通知书；                         （4）甲乙双方商定的其他文件等。</w:t>
      </w:r>
    </w:p>
    <w:p w14:paraId="0867296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第四条 合同款结算及支付</w:t>
      </w:r>
    </w:p>
    <w:p w14:paraId="7C3F92F1">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1.本合同项下所有款项均以人民币支付。</w:t>
      </w:r>
    </w:p>
    <w:p w14:paraId="7E2218A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w:t>
      </w:r>
      <w:r>
        <w:rPr>
          <w:rFonts w:hint="eastAsia" w:ascii="宋体" w:hAnsi="宋体" w:cs="宋体"/>
          <w:color w:val="auto"/>
          <w:szCs w:val="21"/>
          <w:highlight w:val="none"/>
        </w:rPr>
        <w:t>合同项下的采购资金由甲方自行支付，乙方向甲方开具发票。</w:t>
      </w:r>
    </w:p>
    <w:p w14:paraId="5E7883AC">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3.结算原则：</w:t>
      </w:r>
      <w:r>
        <w:rPr>
          <w:rFonts w:hint="eastAsia" w:ascii="宋体" w:hAnsi="宋体" w:cs="宋体"/>
          <w:color w:val="auto"/>
          <w:szCs w:val="21"/>
          <w:highlight w:val="none"/>
          <w:lang w:val="en-US" w:eastAsia="zh-CN"/>
        </w:rPr>
        <w:t>固定总价</w:t>
      </w:r>
      <w:r>
        <w:rPr>
          <w:rFonts w:hint="eastAsia" w:ascii="宋体" w:hAnsi="宋体" w:cs="宋体"/>
          <w:color w:val="auto"/>
          <w:szCs w:val="21"/>
          <w:highlight w:val="none"/>
        </w:rPr>
        <w:t>。</w:t>
      </w:r>
    </w:p>
    <w:p w14:paraId="48CAFAA4">
      <w:pPr>
        <w:adjustRightInd w:val="0"/>
        <w:snapToGrid w:val="0"/>
        <w:spacing w:line="360" w:lineRule="exact"/>
        <w:ind w:firstLine="426" w:firstLineChars="202"/>
        <w:rPr>
          <w:rFonts w:ascii="宋体" w:hAnsi="宋体" w:cs="宋体"/>
          <w:color w:val="auto"/>
          <w:szCs w:val="21"/>
          <w:highlight w:val="none"/>
        </w:rPr>
      </w:pPr>
      <w:r>
        <w:rPr>
          <w:rFonts w:hint="eastAsia" w:ascii="宋体" w:hAnsi="宋体" w:cs="宋体"/>
          <w:b/>
          <w:bCs/>
          <w:color w:val="auto"/>
          <w:szCs w:val="21"/>
          <w:highlight w:val="none"/>
        </w:rPr>
        <w:t>4.付款方式：</w:t>
      </w:r>
      <w:r>
        <w:rPr>
          <w:rFonts w:hint="eastAsia" w:ascii="宋体" w:hAnsi="宋体" w:eastAsia="宋体" w:cs="宋体"/>
          <w:b/>
          <w:color w:val="auto"/>
          <w:szCs w:val="21"/>
          <w:highlight w:val="none"/>
          <w:lang w:eastAsia="zh-CN"/>
        </w:rPr>
        <w:t>合同签订满6个月后采购人向成交供应商支付合同金额的</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剩余</w:t>
      </w:r>
      <w:r>
        <w:rPr>
          <w:rFonts w:hint="eastAsia" w:ascii="宋体" w:hAnsi="宋体" w:eastAsia="宋体" w:cs="宋体"/>
          <w:b/>
          <w:color w:val="auto"/>
          <w:szCs w:val="21"/>
          <w:highlight w:val="none"/>
          <w:lang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eastAsia="zh-CN"/>
        </w:rPr>
        <w:t>%服务期满经验收合格后</w:t>
      </w:r>
      <w:r>
        <w:rPr>
          <w:rFonts w:hint="eastAsia" w:ascii="宋体" w:hAnsi="宋体" w:eastAsia="宋体" w:cs="宋体"/>
          <w:b/>
          <w:color w:val="auto"/>
          <w:szCs w:val="21"/>
          <w:highlight w:val="none"/>
          <w:lang w:val="en-US" w:eastAsia="zh-CN"/>
        </w:rPr>
        <w:t>一次性付清</w:t>
      </w:r>
      <w:r>
        <w:rPr>
          <w:rFonts w:hint="eastAsia" w:ascii="宋体" w:hAnsi="宋体" w:eastAsia="宋体" w:cs="宋体"/>
          <w:b/>
          <w:color w:val="auto"/>
          <w:szCs w:val="21"/>
          <w:highlight w:val="none"/>
          <w:lang w:eastAsia="zh-CN"/>
        </w:rPr>
        <w:t>。</w:t>
      </w:r>
    </w:p>
    <w:p w14:paraId="30C26E01">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第五条 违约责任</w:t>
      </w:r>
    </w:p>
    <w:p w14:paraId="4F124AF4">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1.如乙方不能</w:t>
      </w:r>
      <w:r>
        <w:rPr>
          <w:rFonts w:hint="eastAsia" w:ascii="宋体" w:hAnsi="宋体" w:cs="宋体"/>
          <w:color w:val="auto"/>
          <w:szCs w:val="21"/>
          <w:highlight w:val="none"/>
        </w:rPr>
        <w:t>按约定进行服务的，</w:t>
      </w:r>
      <w:r>
        <w:rPr>
          <w:rFonts w:hint="eastAsia" w:ascii="宋体" w:hAnsi="宋体" w:cs="宋体"/>
          <w:color w:val="auto"/>
          <w:highlight w:val="none"/>
        </w:rPr>
        <w:t>甲方有权解除合同，同时有权要求乙方按照合同总价5%的标准支付违约金，解除合同的通知自发出之日生效。</w:t>
      </w:r>
    </w:p>
    <w:p w14:paraId="38A9F9F3">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2.甲方未按合同规定的期限向乙方支付货款的，每逾期1天甲方向乙方偿付欠款总额的5‰滞纳金，但累计滞纳金总额不超过欠款总额的5%。</w:t>
      </w:r>
    </w:p>
    <w:p w14:paraId="74CA4533">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3.乙方未按本合同的规定和“服务承诺”提供伴随服务的，甲方有权提前解除本合同，同时乙方应按合同总价款的5%向甲方承担违约责任。</w:t>
      </w:r>
    </w:p>
    <w:p w14:paraId="6B37A9BA">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4.乙方在承担上述一项或多项违约责任后，仍应继续履行合同规定的义务（甲方解除合同的除外）。甲方未能及时追究乙方的任何一项违约责任并不表明甲方放弃追究乙方该项或其他违约责任。</w:t>
      </w:r>
    </w:p>
    <w:p w14:paraId="2FD3DF92">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5.乙方属虚假承诺，或是由于乙方的过错造成合同无法继续履行的，乙方应向甲方支付不少于合同总价30%违约金，若该违约金不足以弥补甲方损失，则应当赔偿甲方所有损失。</w:t>
      </w:r>
    </w:p>
    <w:p w14:paraId="2697B0D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6.其他未尽事宜，以《民法典》等有关法律法规规定为准，无相关规定的，双方协商解决。</w:t>
      </w:r>
    </w:p>
    <w:p w14:paraId="780B82AD">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第六条 合同的变更和终止</w:t>
      </w:r>
    </w:p>
    <w:p w14:paraId="1494A9B9">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1.本合同一经签订，甲乙双方不得擅自变更、中止或终止合同。</w:t>
      </w:r>
    </w:p>
    <w:p w14:paraId="3A36557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2.除发生法律规定的不能预见、不能避免并不能克服的客观情况外，甲乙双方不得放弃或拒绝履行合同。</w:t>
      </w:r>
    </w:p>
    <w:p w14:paraId="2674F05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第七条 合同的转让</w:t>
      </w:r>
    </w:p>
    <w:p w14:paraId="42206CDD">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乙方不得擅自部分或全部转让其应履行的合同义务。</w:t>
      </w:r>
    </w:p>
    <w:p w14:paraId="6633C4D2">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第八条 不可抗力</w:t>
      </w:r>
    </w:p>
    <w:p w14:paraId="010232A4">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甲、乙方中任何一方，因不可抗力不能按时或完全履行合同的，应及时通知对方，并在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5日内提供相应证明。未履行完合同部分是否继续履行、如何履行等问题，可由双方初步协商，并向主管部门报告。确定为不可抗力原因造成的损失，免予承担责任。</w:t>
      </w:r>
    </w:p>
    <w:p w14:paraId="77278AA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第九条 争议的解决</w:t>
      </w:r>
    </w:p>
    <w:p w14:paraId="58FEF220">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1.因履行本合同引起的或与本合同有关的争议，甲、乙双方应首先通过友好协商解决，如果协商不能解决争议，则采取以下第（ ）种方式解决争议：</w:t>
      </w:r>
    </w:p>
    <w:p w14:paraId="157CDC93">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（1）向甲方所在地人民法院提起诉讼；</w:t>
      </w:r>
    </w:p>
    <w:p w14:paraId="3585A586">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（2）向甲方所在地仲裁委员会按其仲裁规则申请仲裁。</w:t>
      </w:r>
    </w:p>
    <w:p w14:paraId="45F14076">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如没有约定，默认采取第2种方式解决争议。</w:t>
      </w:r>
    </w:p>
    <w:p w14:paraId="4B9C136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2.在法院审理和仲裁期间，除有争议部分外，本合同其他部分应继续履行。</w:t>
      </w:r>
    </w:p>
    <w:p w14:paraId="2DDB185D">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 xml:space="preserve">第十条 诚实信用 </w:t>
      </w:r>
    </w:p>
    <w:p w14:paraId="5589FB2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乙方应诚实信用，严格按照询价通知书要求和承诺履行合同，不向甲方进行商业贿赂或者提供不正当利益。</w:t>
      </w:r>
    </w:p>
    <w:p w14:paraId="2592C426">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第十一条 合同生效及其他</w:t>
      </w:r>
    </w:p>
    <w:p w14:paraId="5F6BC56A">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2B9AD38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2.本合同一式伍份，甲乙双方各执贰份，代理机构执壹份存档。</w:t>
      </w:r>
    </w:p>
    <w:p w14:paraId="2C5BC159">
      <w:pPr>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3.本合同应按照中华人民共和国的现行法律进行解释。</w:t>
      </w:r>
    </w:p>
    <w:p w14:paraId="4C562211">
      <w:pPr>
        <w:spacing w:line="400" w:lineRule="exact"/>
        <w:jc w:val="left"/>
        <w:rPr>
          <w:rFonts w:ascii="宋体" w:hAnsi="宋体" w:cs="宋体"/>
          <w:b/>
          <w:bCs/>
          <w:color w:val="auto"/>
          <w:szCs w:val="21"/>
          <w:highlight w:val="none"/>
        </w:rPr>
      </w:pPr>
    </w:p>
    <w:p w14:paraId="143BC8F7">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3F063E2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单位名称（章）：                          单位名称（章）：</w:t>
      </w:r>
    </w:p>
    <w:p w14:paraId="29FBC02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单位地址：                               单位地址：</w:t>
      </w:r>
    </w:p>
    <w:p w14:paraId="71E1BA7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7F129F0A">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7C7ED63C">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1BEC3CAC">
      <w:pPr>
        <w:spacing w:line="400" w:lineRule="exact"/>
        <w:rPr>
          <w:rFonts w:ascii="宋体" w:hAnsi="宋体" w:cs="宋体"/>
          <w:b/>
          <w:bCs/>
          <w:color w:val="auto"/>
          <w:szCs w:val="21"/>
          <w:highlight w:val="none"/>
        </w:rPr>
      </w:pPr>
    </w:p>
    <w:p w14:paraId="290EEB2D">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40D06528">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3A90174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53E3D1C7">
      <w:pPr>
        <w:spacing w:line="400" w:lineRule="exact"/>
        <w:rPr>
          <w:rFonts w:ascii="宋体" w:hAnsi="宋体" w:cs="宋体"/>
          <w:color w:val="auto"/>
          <w:szCs w:val="21"/>
          <w:highlight w:val="none"/>
        </w:rPr>
      </w:pPr>
      <w:r>
        <w:rPr>
          <w:rFonts w:hint="eastAsia" w:ascii="宋体" w:hAnsi="宋体" w:cs="宋体"/>
          <w:color w:val="auto"/>
          <w:szCs w:val="21"/>
          <w:highlight w:val="none"/>
        </w:rPr>
        <w:t>经办人：                               电  话：</w:t>
      </w:r>
    </w:p>
    <w:p w14:paraId="7AF9495C">
      <w:pPr>
        <w:jc w:val="center"/>
        <w:rPr>
          <w:rFonts w:ascii="宋体" w:hAnsi="宋体" w:cs="宋体"/>
          <w:b/>
          <w:color w:val="auto"/>
          <w:sz w:val="30"/>
          <w:szCs w:val="30"/>
          <w:highlight w:val="none"/>
        </w:rPr>
      </w:pPr>
    </w:p>
    <w:p w14:paraId="4403D721">
      <w:pPr>
        <w:jc w:val="center"/>
        <w:rPr>
          <w:rFonts w:ascii="宋体" w:hAnsi="宋体" w:cs="宋体"/>
          <w:b/>
          <w:color w:val="auto"/>
          <w:sz w:val="30"/>
          <w:szCs w:val="30"/>
          <w:highlight w:val="none"/>
        </w:rPr>
      </w:pPr>
    </w:p>
    <w:bookmarkEnd w:id="0"/>
    <w:p w14:paraId="31300425">
      <w:pPr>
        <w:rPr>
          <w:rFonts w:hint="eastAsia" w:ascii="宋体" w:hAnsi="宋体" w:cs="宋体"/>
          <w:b/>
          <w:color w:val="auto"/>
          <w:kern w:val="0"/>
          <w:szCs w:val="21"/>
          <w:highlight w:val="none"/>
        </w:rPr>
      </w:pPr>
      <w:r>
        <w:rPr>
          <w:rFonts w:hint="eastAsia" w:ascii="宋体" w:hAnsi="宋体" w:cs="宋体"/>
          <w:b/>
          <w:color w:val="auto"/>
          <w:kern w:val="0"/>
          <w:szCs w:val="21"/>
          <w:highlight w:val="none"/>
        </w:rPr>
        <w:br w:type="page"/>
      </w:r>
    </w:p>
    <w:p w14:paraId="554788C4">
      <w:pPr>
        <w:outlineLvl w:val="1"/>
        <w:rPr>
          <w:b/>
          <w:color w:val="auto"/>
          <w:sz w:val="28"/>
          <w:szCs w:val="28"/>
          <w:highlight w:val="none"/>
        </w:rPr>
      </w:pPr>
      <w:r>
        <w:rPr>
          <w:rFonts w:hint="eastAsia" w:ascii="宋体" w:hAnsi="宋体" w:cs="宋体"/>
          <w:b/>
          <w:color w:val="auto"/>
          <w:kern w:val="0"/>
          <w:szCs w:val="21"/>
          <w:highlight w:val="none"/>
        </w:rPr>
        <w:t>附件：1.供应商资格声明函</w:t>
      </w:r>
    </w:p>
    <w:p w14:paraId="7D0EAA04">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04441D49">
      <w:pPr>
        <w:pStyle w:val="5"/>
        <w:spacing w:line="360" w:lineRule="exact"/>
        <w:ind w:firstLine="0"/>
        <w:rPr>
          <w:color w:val="auto"/>
          <w:sz w:val="21"/>
          <w:szCs w:val="21"/>
          <w:highlight w:val="none"/>
        </w:rPr>
      </w:pPr>
    </w:p>
    <w:p w14:paraId="2C8E4A14">
      <w:pPr>
        <w:pStyle w:val="5"/>
        <w:spacing w:line="360" w:lineRule="exact"/>
        <w:ind w:firstLine="0"/>
        <w:rPr>
          <w:color w:val="auto"/>
          <w:sz w:val="21"/>
          <w:szCs w:val="21"/>
          <w:highlight w:val="none"/>
        </w:rPr>
      </w:pPr>
      <w:r>
        <w:rPr>
          <w:rFonts w:hint="eastAsia"/>
          <w:color w:val="auto"/>
          <w:sz w:val="21"/>
          <w:szCs w:val="21"/>
          <w:highlight w:val="none"/>
        </w:rPr>
        <w:t>采购人名称、常州市城投建设工程招标有限公司：</w:t>
      </w:r>
    </w:p>
    <w:p w14:paraId="5A27349C">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51EBC009">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DA8271E">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771C652E">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2CFD0868">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407B7CEB">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52C7963C">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382D9791">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795F144C">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72D821AF">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69F54EBB">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5732693A">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1926CEAC">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504F8C9B">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7DF6234A">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5C118C80">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7A66968E">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33720ED6">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7CE396EF">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供应商名称（公章）：             </w:t>
      </w:r>
    </w:p>
    <w:p w14:paraId="6292E8A5">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0938C4ED">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5A8183E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53158A04">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6B133187">
      <w:pPr>
        <w:spacing w:line="3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（采购人）、常州市城投建设工程招标有限公司 ：</w:t>
      </w:r>
    </w:p>
    <w:p w14:paraId="5E328CC3">
      <w:pPr>
        <w:spacing w:line="36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我单位收到贵单位“       号”询价</w:t>
      </w:r>
      <w:r>
        <w:rPr>
          <w:rFonts w:asciiTheme="minorEastAsia" w:hAnsiTheme="minorEastAsia" w:eastAsiaTheme="minorEastAsia"/>
          <w:color w:val="auto"/>
          <w:highlight w:val="none"/>
        </w:rPr>
        <w:t>通知书</w:t>
      </w:r>
      <w:r>
        <w:rPr>
          <w:rFonts w:hint="eastAsia" w:asciiTheme="minorEastAsia" w:hAnsiTheme="minorEastAsia" w:eastAsiaTheme="minorEastAsia"/>
          <w:color w:val="auto"/>
          <w:highlight w:val="none"/>
        </w:rPr>
        <w:t>后，经仔细阅读和研究，我单位决定参加本项目的询价活动。为此，我方郑重声明以下诸点，并负法律责任。</w:t>
      </w:r>
    </w:p>
    <w:p w14:paraId="6265EAD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遵守贵单位有关采购的各项规定，</w:t>
      </w:r>
      <w:r>
        <w:rPr>
          <w:rFonts w:hint="eastAsia" w:cs="宋体" w:asciiTheme="minorEastAsia" w:hAnsiTheme="minorEastAsia" w:eastAsiaTheme="minorEastAsia"/>
          <w:color w:val="auto"/>
          <w:sz w:val="21"/>
          <w:szCs w:val="21"/>
          <w:highlight w:val="none"/>
        </w:rPr>
        <w:t>提供询价通知书中要求的所有资料，并保证完全真实准确，若有虚假和违背，我单位愿意承担由此而产生的一切后果。</w:t>
      </w:r>
    </w:p>
    <w:p w14:paraId="749BFBC2">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w:t>
      </w:r>
      <w:r>
        <w:rPr>
          <w:rFonts w:hint="eastAsia" w:cs="Times New Roman" w:asciiTheme="minorEastAsia" w:hAnsiTheme="minorEastAsia" w:eastAsiaTheme="minorEastAsia"/>
          <w:color w:val="auto"/>
          <w:sz w:val="21"/>
          <w:szCs w:val="21"/>
          <w:highlight w:val="none"/>
        </w:rPr>
        <w:t>前3年内在经营活动中没有重大违法记录。</w:t>
      </w:r>
    </w:p>
    <w:p w14:paraId="1E53D645">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1"/>
          <w:szCs w:val="21"/>
          <w:highlight w:val="none"/>
        </w:rPr>
        <w:t>3.我单位承诺保证采购人在使用该货物或其任何一部分时不受第三方提出侵犯其专利权、著作权、商标权等知识产权的起诉。一旦出现侵权、索赔或诉讼，我单位承担全部责任。</w:t>
      </w:r>
    </w:p>
    <w:p w14:paraId="4145764E">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1"/>
          <w:szCs w:val="21"/>
          <w:highlight w:val="none"/>
        </w:rPr>
        <w:t>4.我单位承诺该询价响应文件在询价开始后的全过程中保持有效，不作任何更改和变动。并同意按询价通知书中的规定，本询价响应文件的有效期限为投标开始后60天。</w:t>
      </w:r>
    </w:p>
    <w:p w14:paraId="5BEF49ED">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1"/>
          <w:szCs w:val="21"/>
          <w:highlight w:val="none"/>
        </w:rPr>
        <w:t>5.我单位愿意按询价通知书规定的各项要求，向采购人提供所需货物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8239061">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1"/>
          <w:szCs w:val="21"/>
          <w:highlight w:val="none"/>
        </w:rPr>
        <w:t>6.我单位认为贵单位有权决定成交供应商，还认为贵单位有权接受或拒绝所有的供应商。</w:t>
      </w:r>
    </w:p>
    <w:p w14:paraId="080224E0">
      <w:pPr>
        <w:pStyle w:val="55"/>
        <w:spacing w:line="360" w:lineRule="exact"/>
        <w:ind w:firstLine="420"/>
        <w:jc w:val="left"/>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1"/>
          <w:szCs w:val="21"/>
          <w:highlight w:val="none"/>
        </w:rPr>
        <w:t>7.我单位愿意遵守询价通知书中所列的收费标准，若我单位成交，我单位愿意按询价通知书的规定支付成交服务费。</w:t>
      </w:r>
    </w:p>
    <w:p w14:paraId="07BA7E5D">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8.如果我单位的询价响应文件被接受，</w:t>
      </w:r>
      <w:r>
        <w:rPr>
          <w:rFonts w:hint="eastAsia" w:asciiTheme="minorEastAsia" w:hAnsiTheme="minorEastAsia" w:eastAsiaTheme="minorEastAsia"/>
          <w:color w:val="auto"/>
          <w:sz w:val="21"/>
          <w:szCs w:val="21"/>
          <w:highlight w:val="none"/>
        </w:rPr>
        <w:t>愿按《中华人民共和国民法典》履行自己的全部责任，</w:t>
      </w:r>
      <w:r>
        <w:rPr>
          <w:rFonts w:asciiTheme="minorEastAsia" w:hAnsiTheme="minorEastAsia" w:eastAsiaTheme="minorEastAsia"/>
          <w:color w:val="auto"/>
          <w:sz w:val="21"/>
          <w:szCs w:val="21"/>
          <w:highlight w:val="none"/>
        </w:rPr>
        <w:t>同时</w:t>
      </w:r>
      <w:r>
        <w:rPr>
          <w:rFonts w:hint="eastAsia" w:cs="宋体" w:asciiTheme="minorEastAsia" w:hAnsiTheme="minorEastAsia" w:eastAsiaTheme="minorEastAsia"/>
          <w:color w:val="auto"/>
          <w:sz w:val="21"/>
          <w:szCs w:val="21"/>
          <w:highlight w:val="none"/>
        </w:rPr>
        <w:t>严格履行询价通知书中规定的每一项要求，按期、按质、按量履行合同的义务。</w:t>
      </w:r>
    </w:p>
    <w:p w14:paraId="3B22383A">
      <w:pPr>
        <w:pStyle w:val="55"/>
        <w:spacing w:line="360" w:lineRule="exact"/>
        <w:ind w:firstLine="420"/>
        <w:rPr>
          <w:rFonts w:cs="宋体"/>
          <w:color w:val="auto"/>
          <w:sz w:val="21"/>
          <w:szCs w:val="21"/>
          <w:highlight w:val="none"/>
        </w:rPr>
      </w:pPr>
      <w:r>
        <w:rPr>
          <w:rFonts w:hint="eastAsia" w:cs="宋体"/>
          <w:color w:val="auto"/>
          <w:sz w:val="21"/>
          <w:szCs w:val="21"/>
          <w:highlight w:val="none"/>
        </w:rPr>
        <w:t>9.与本次询价有关的正式通讯地址为：</w:t>
      </w:r>
    </w:p>
    <w:p w14:paraId="64F75D33">
      <w:pPr>
        <w:spacing w:line="360" w:lineRule="exact"/>
        <w:ind w:firstLine="420" w:firstLineChars="200"/>
        <w:rPr>
          <w:rFonts w:asciiTheme="minorEastAsia" w:hAnsiTheme="minorEastAsia" w:eastAsiaTheme="minorEastAsia"/>
          <w:color w:val="auto"/>
          <w:highlight w:val="none"/>
        </w:rPr>
      </w:pPr>
    </w:p>
    <w:p w14:paraId="5EAB814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p w14:paraId="7D304DCC">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4770CA99">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邮</w:t>
      </w:r>
      <w:r>
        <w:rPr>
          <w:rFonts w:hint="eastAsia" w:asciiTheme="minorEastAsia" w:hAnsiTheme="minorEastAsia"/>
          <w:color w:val="auto"/>
          <w:sz w:val="21"/>
          <w:szCs w:val="21"/>
          <w:highlight w:val="none"/>
        </w:rPr>
        <w:t>政编码：</w:t>
      </w:r>
    </w:p>
    <w:p w14:paraId="17015DB3">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联系人：</w:t>
      </w:r>
    </w:p>
    <w:p w14:paraId="19538CA0">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 xml:space="preserve">联系电话：    </w:t>
      </w:r>
    </w:p>
    <w:p w14:paraId="36D62993">
      <w:pPr>
        <w:pStyle w:val="11"/>
        <w:snapToGrid w:val="0"/>
        <w:spacing w:line="360" w:lineRule="auto"/>
        <w:ind w:firstLine="420"/>
        <w:rPr>
          <w:rFonts w:hint="eastAsia" w:cs="宋体"/>
          <w:color w:val="auto"/>
          <w:sz w:val="21"/>
          <w:szCs w:val="21"/>
          <w:highlight w:val="none"/>
        </w:rPr>
      </w:pPr>
      <w:r>
        <w:rPr>
          <w:rFonts w:hint="eastAsia" w:cs="宋体"/>
          <w:color w:val="auto"/>
          <w:sz w:val="21"/>
          <w:szCs w:val="21"/>
          <w:highlight w:val="none"/>
          <w:lang w:val="en-US" w:eastAsia="zh-CN"/>
        </w:rPr>
        <w:t>电子函件：</w:t>
      </w:r>
      <w:r>
        <w:rPr>
          <w:rFonts w:hint="eastAsia" w:cs="宋体"/>
          <w:color w:val="auto"/>
          <w:sz w:val="21"/>
          <w:szCs w:val="21"/>
          <w:highlight w:val="none"/>
        </w:rPr>
        <w:t xml:space="preserve"> </w:t>
      </w:r>
    </w:p>
    <w:p w14:paraId="4FA0338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开户名称：</w:t>
      </w:r>
    </w:p>
    <w:p w14:paraId="4EE01089">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开户银行：</w:t>
      </w:r>
    </w:p>
    <w:p w14:paraId="6C2C5EA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银行账号：</w:t>
      </w:r>
    </w:p>
    <w:p w14:paraId="4584A57B">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日期</w:t>
      </w:r>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 xml:space="preserve">     </w:t>
      </w:r>
      <w:r>
        <w:rPr>
          <w:rFonts w:hint="eastAsia" w:asciiTheme="minorEastAsia" w:hAnsiTheme="minorEastAsia"/>
          <w:bCs/>
          <w:color w:val="auto"/>
          <w:sz w:val="21"/>
          <w:szCs w:val="21"/>
          <w:highlight w:val="none"/>
        </w:rPr>
        <w:t>年   月   日</w:t>
      </w:r>
    </w:p>
    <w:p w14:paraId="1F79347B">
      <w:pPr>
        <w:widowControl/>
        <w:snapToGrid w:val="0"/>
        <w:spacing w:line="360" w:lineRule="auto"/>
        <w:ind w:right="-308"/>
        <w:jc w:val="left"/>
        <w:rPr>
          <w:rFonts w:ascii="宋体" w:cs="宋体"/>
          <w:color w:val="auto"/>
          <w:kern w:val="0"/>
          <w:szCs w:val="21"/>
          <w:highlight w:val="none"/>
        </w:rPr>
      </w:pPr>
    </w:p>
    <w:p w14:paraId="37191EA5">
      <w:pPr>
        <w:outlineLvl w:val="1"/>
        <w:rPr>
          <w:rFonts w:cs="宋体"/>
          <w:b/>
          <w:color w:val="auto"/>
          <w:szCs w:val="21"/>
          <w:highlight w:val="none"/>
        </w:rPr>
      </w:pPr>
      <w:r>
        <w:rPr>
          <w:rFonts w:hint="eastAsia" w:cs="Arial"/>
          <w:color w:val="auto"/>
          <w:kern w:val="0"/>
          <w:szCs w:val="21"/>
          <w:highlight w:val="none"/>
        </w:rPr>
        <w:br w:type="page"/>
      </w:r>
      <w:r>
        <w:rPr>
          <w:rFonts w:hint="eastAsia" w:ascii="宋体" w:hAnsi="宋体" w:cs="宋体"/>
          <w:b/>
          <w:color w:val="auto"/>
          <w:kern w:val="0"/>
          <w:szCs w:val="21"/>
          <w:highlight w:val="none"/>
        </w:rPr>
        <w:t>附件：3.法定代表人资格证明书</w:t>
      </w:r>
    </w:p>
    <w:p w14:paraId="5A43D2E2">
      <w:pPr>
        <w:rPr>
          <w:color w:val="auto"/>
          <w:highlight w:val="none"/>
        </w:rPr>
      </w:pPr>
    </w:p>
    <w:p w14:paraId="3E934579">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3DF069AD">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3F001E9C">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0FE2C2CC">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E3ACB2D">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361A7936">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75BF8479">
      <w:pPr>
        <w:spacing w:line="360" w:lineRule="auto"/>
        <w:rPr>
          <w:rFonts w:ascii="宋体" w:hAnsi="宋体"/>
          <w:color w:val="auto"/>
          <w:szCs w:val="21"/>
          <w:highlight w:val="none"/>
        </w:rPr>
      </w:pPr>
    </w:p>
    <w:p w14:paraId="702756BD">
      <w:pPr>
        <w:spacing w:line="360" w:lineRule="auto"/>
        <w:rPr>
          <w:rFonts w:ascii="宋体" w:hAnsi="宋体"/>
          <w:color w:val="auto"/>
          <w:szCs w:val="21"/>
          <w:highlight w:val="none"/>
        </w:rPr>
      </w:pPr>
    </w:p>
    <w:p w14:paraId="1123C9BA">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13BB92AB">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0399EE9D">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73849D2E">
      <w:pPr>
        <w:tabs>
          <w:tab w:val="left" w:pos="6045"/>
        </w:tabs>
        <w:snapToGrid w:val="0"/>
        <w:spacing w:line="360" w:lineRule="auto"/>
        <w:ind w:left="210" w:hanging="210" w:hangingChars="100"/>
        <w:rPr>
          <w:rFonts w:ascii="宋体" w:hAnsi="宋体"/>
          <w:color w:val="auto"/>
          <w:szCs w:val="21"/>
          <w:highlight w:val="none"/>
        </w:rPr>
      </w:pPr>
    </w:p>
    <w:p w14:paraId="12530277">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5DB84A8C">
      <w:pPr>
        <w:snapToGrid w:val="0"/>
        <w:spacing w:line="360" w:lineRule="auto"/>
        <w:rPr>
          <w:rFonts w:ascii="宋体" w:hAnsi="宋体"/>
          <w:color w:val="auto"/>
          <w:szCs w:val="21"/>
          <w:highlight w:val="none"/>
        </w:rPr>
      </w:pPr>
    </w:p>
    <w:p w14:paraId="3A95330D">
      <w:pPr>
        <w:snapToGrid w:val="0"/>
        <w:spacing w:line="360" w:lineRule="auto"/>
        <w:rPr>
          <w:rFonts w:ascii="宋体" w:hAnsi="宋体"/>
          <w:b/>
          <w:color w:val="auto"/>
          <w:szCs w:val="21"/>
          <w:highlight w:val="none"/>
        </w:rPr>
      </w:pPr>
    </w:p>
    <w:p w14:paraId="09B9E5B5">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515B6A78">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5556E544">
      <w:pPr>
        <w:snapToGrid w:val="0"/>
        <w:spacing w:line="360" w:lineRule="auto"/>
        <w:rPr>
          <w:rFonts w:ascii="宋体" w:hAnsi="宋体"/>
          <w:b/>
          <w:color w:val="auto"/>
          <w:sz w:val="24"/>
          <w:szCs w:val="28"/>
          <w:highlight w:val="none"/>
        </w:rPr>
      </w:pPr>
    </w:p>
    <w:p w14:paraId="47A7BBE0">
      <w:pPr>
        <w:snapToGrid w:val="0"/>
        <w:spacing w:line="360" w:lineRule="auto"/>
        <w:rPr>
          <w:rFonts w:ascii="宋体" w:hAnsi="宋体"/>
          <w:b/>
          <w:color w:val="auto"/>
          <w:sz w:val="24"/>
          <w:szCs w:val="28"/>
          <w:highlight w:val="none"/>
        </w:rPr>
      </w:pPr>
    </w:p>
    <w:p w14:paraId="0A5E4E73">
      <w:pPr>
        <w:rPr>
          <w:color w:val="auto"/>
          <w:highlight w:val="none"/>
        </w:rPr>
      </w:pPr>
    </w:p>
    <w:p w14:paraId="4FE5EB64">
      <w:pPr>
        <w:rPr>
          <w:color w:val="auto"/>
          <w:highlight w:val="none"/>
        </w:rPr>
      </w:pPr>
    </w:p>
    <w:p w14:paraId="165DD731">
      <w:pPr>
        <w:rPr>
          <w:color w:val="auto"/>
          <w:highlight w:val="none"/>
        </w:rPr>
      </w:pPr>
    </w:p>
    <w:p w14:paraId="1624E52E">
      <w:pPr>
        <w:rPr>
          <w:color w:val="auto"/>
          <w:highlight w:val="none"/>
        </w:rPr>
      </w:pPr>
    </w:p>
    <w:p w14:paraId="3BC85823">
      <w:pPr>
        <w:rPr>
          <w:color w:val="auto"/>
          <w:highlight w:val="none"/>
        </w:rPr>
      </w:pPr>
    </w:p>
    <w:p w14:paraId="0C34AF1C">
      <w:pPr>
        <w:rPr>
          <w:color w:val="auto"/>
          <w:highlight w:val="none"/>
        </w:rPr>
      </w:pPr>
    </w:p>
    <w:p w14:paraId="6F328EAE">
      <w:pPr>
        <w:rPr>
          <w:color w:val="auto"/>
          <w:highlight w:val="none"/>
        </w:rPr>
      </w:pPr>
    </w:p>
    <w:p w14:paraId="226609F4">
      <w:pPr>
        <w:rPr>
          <w:color w:val="auto"/>
          <w:highlight w:val="none"/>
        </w:rPr>
      </w:pPr>
    </w:p>
    <w:p w14:paraId="244353DE">
      <w:pPr>
        <w:rPr>
          <w:color w:val="auto"/>
          <w:highlight w:val="none"/>
        </w:rPr>
      </w:pPr>
    </w:p>
    <w:p w14:paraId="2F50DD90">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78E2780F">
      <w:pPr>
        <w:pStyle w:val="5"/>
        <w:snapToGrid w:val="0"/>
        <w:spacing w:line="360" w:lineRule="auto"/>
        <w:ind w:firstLine="0"/>
        <w:rPr>
          <w:rFonts w:hint="eastAsia" w:ascii="宋体" w:hAnsi="宋体" w:eastAsia="宋体" w:cs="宋体"/>
          <w:b/>
          <w:bCs w:val="0"/>
          <w:color w:val="auto"/>
          <w:kern w:val="0"/>
          <w:sz w:val="24"/>
          <w:szCs w:val="21"/>
          <w:highlight w:val="none"/>
          <w:lang w:val="en-US" w:eastAsia="zh-CN" w:bidi="ar-SA"/>
        </w:rPr>
      </w:pPr>
      <w:r>
        <w:rPr>
          <w:rFonts w:hint="eastAsia" w:ascii="宋体" w:hAnsi="宋体" w:eastAsia="宋体" w:cs="宋体"/>
          <w:b/>
          <w:bCs w:val="0"/>
          <w:color w:val="auto"/>
          <w:kern w:val="0"/>
          <w:sz w:val="24"/>
          <w:szCs w:val="21"/>
          <w:highlight w:val="none"/>
          <w:lang w:val="en-US" w:eastAsia="zh-CN" w:bidi="ar-SA"/>
        </w:rPr>
        <w:t>附件4：授权委托书</w:t>
      </w:r>
    </w:p>
    <w:p w14:paraId="6A2551E1">
      <w:pPr>
        <w:pStyle w:val="55"/>
        <w:snapToGrid w:val="0"/>
        <w:spacing w:line="360" w:lineRule="auto"/>
        <w:ind w:firstLine="562"/>
        <w:jc w:val="center"/>
        <w:rPr>
          <w:rFonts w:cs="宋体"/>
          <w:b/>
          <w:color w:val="auto"/>
          <w:sz w:val="28"/>
          <w:szCs w:val="28"/>
          <w:highlight w:val="none"/>
        </w:rPr>
      </w:pPr>
      <w:r>
        <w:rPr>
          <w:rFonts w:hint="eastAsia" w:cs="宋体"/>
          <w:b/>
          <w:color w:val="auto"/>
          <w:sz w:val="28"/>
          <w:szCs w:val="28"/>
          <w:highlight w:val="none"/>
        </w:rPr>
        <w:t>授权委托书</w:t>
      </w:r>
    </w:p>
    <w:p w14:paraId="4861B443">
      <w:pPr>
        <w:adjustRightInd w:val="0"/>
        <w:snapToGrid w:val="0"/>
        <w:spacing w:line="360" w:lineRule="auto"/>
        <w:ind w:firstLine="516" w:firstLineChars="215"/>
        <w:rPr>
          <w:rFonts w:ascii="宋体" w:hAnsi="宋体" w:cs="宋体"/>
          <w:color w:val="auto"/>
          <w:sz w:val="24"/>
          <w:szCs w:val="24"/>
          <w:highlight w:val="none"/>
        </w:rPr>
      </w:pPr>
    </w:p>
    <w:p w14:paraId="715833AD">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410E59B5">
      <w:pPr>
        <w:adjustRightInd w:val="0"/>
        <w:snapToGrid w:val="0"/>
        <w:spacing w:line="360" w:lineRule="auto"/>
        <w:rPr>
          <w:rFonts w:ascii="宋体" w:hAnsi="宋体" w:cs="宋体"/>
          <w:color w:val="auto"/>
          <w:sz w:val="24"/>
          <w:szCs w:val="24"/>
          <w:highlight w:val="none"/>
        </w:rPr>
      </w:pPr>
    </w:p>
    <w:p w14:paraId="5C587B5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5677EA52">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66FDD192">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10099C2E">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3DBD31B">
      <w:pPr>
        <w:spacing w:line="400" w:lineRule="exact"/>
        <w:rPr>
          <w:rFonts w:ascii="宋体" w:hAnsi="宋体" w:cs="宋体"/>
          <w:color w:val="auto"/>
          <w:szCs w:val="21"/>
          <w:highlight w:val="none"/>
        </w:rPr>
      </w:pPr>
    </w:p>
    <w:p w14:paraId="4DEDD63C">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7C8EF680">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57359695">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4A97F30B">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A402FBF">
      <w:pPr>
        <w:spacing w:line="400" w:lineRule="exact"/>
        <w:rPr>
          <w:rFonts w:ascii="宋体" w:hAnsi="宋体" w:cs="宋体"/>
          <w:color w:val="auto"/>
          <w:szCs w:val="21"/>
          <w:highlight w:val="none"/>
        </w:rPr>
      </w:pPr>
    </w:p>
    <w:p w14:paraId="25B9464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5E86C136">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7B0631EF">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28536C4C">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18C759D2">
      <w:pPr>
        <w:spacing w:line="400" w:lineRule="exact"/>
        <w:rPr>
          <w:rFonts w:ascii="宋体" w:hAnsi="宋体" w:cs="宋体"/>
          <w:color w:val="auto"/>
          <w:szCs w:val="21"/>
          <w:highlight w:val="none"/>
        </w:rPr>
      </w:pPr>
      <w:r>
        <w:rPr>
          <w:rFonts w:hint="eastAsia" w:ascii="宋体" w:hAnsi="宋体" w:cs="宋体"/>
          <w:color w:val="auto"/>
          <w:szCs w:val="21"/>
          <w:highlight w:val="none"/>
        </w:rPr>
        <w:t>帐号：</w:t>
      </w:r>
    </w:p>
    <w:p w14:paraId="73A21D62">
      <w:pPr>
        <w:spacing w:line="400" w:lineRule="exact"/>
        <w:rPr>
          <w:rFonts w:ascii="宋体" w:hAnsi="宋体" w:cs="宋体"/>
          <w:color w:val="auto"/>
          <w:szCs w:val="21"/>
          <w:highlight w:val="none"/>
        </w:rPr>
      </w:pPr>
    </w:p>
    <w:p w14:paraId="4F027C9B">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54D01A65">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5A666D79">
      <w:pPr>
        <w:spacing w:line="360" w:lineRule="auto"/>
        <w:rPr>
          <w:rFonts w:ascii="宋体" w:hAnsi="宋体" w:cs="宋体"/>
          <w:color w:val="auto"/>
          <w:sz w:val="24"/>
          <w:szCs w:val="24"/>
          <w:highlight w:val="none"/>
        </w:rPr>
      </w:pPr>
    </w:p>
    <w:p w14:paraId="27E05C3D">
      <w:pPr>
        <w:rPr>
          <w:rFonts w:hint="eastAsia" w:ascii="宋体" w:hAnsi="宋体" w:cs="宋体"/>
          <w:b/>
          <w:color w:val="auto"/>
          <w:kern w:val="0"/>
          <w:szCs w:val="21"/>
          <w:highlight w:val="none"/>
        </w:rPr>
      </w:pPr>
    </w:p>
    <w:p w14:paraId="024C9058">
      <w:pPr>
        <w:rPr>
          <w:rFonts w:hint="eastAsia" w:ascii="宋体" w:hAnsi="宋体" w:cs="宋体"/>
          <w:b/>
          <w:color w:val="auto"/>
          <w:kern w:val="0"/>
          <w:szCs w:val="21"/>
          <w:highlight w:val="none"/>
        </w:rPr>
      </w:pPr>
      <w:r>
        <w:rPr>
          <w:rFonts w:hint="eastAsia" w:ascii="宋体" w:hAnsi="宋体" w:cs="宋体"/>
          <w:b/>
          <w:color w:val="auto"/>
          <w:kern w:val="0"/>
          <w:szCs w:val="21"/>
          <w:highlight w:val="none"/>
        </w:rPr>
        <w:br w:type="page"/>
      </w:r>
    </w:p>
    <w:p w14:paraId="5B33D0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3EB8777F">
      <w:pPr>
        <w:ind w:firstLine="309"/>
        <w:jc w:val="center"/>
        <w:rPr>
          <w:rFonts w:hint="eastAsia" w:ascii="宋体" w:hAnsi="宋体" w:eastAsia="宋体"/>
          <w:color w:val="auto"/>
          <w:sz w:val="28"/>
          <w:szCs w:val="28"/>
          <w:highlight w:val="none"/>
          <w:lang w:eastAsia="zh-CN"/>
        </w:rPr>
      </w:pPr>
      <w:r>
        <w:rPr>
          <w:rFonts w:hint="eastAsia" w:ascii="宋体" w:hAnsi="宋体"/>
          <w:b/>
          <w:color w:val="auto"/>
          <w:sz w:val="28"/>
          <w:szCs w:val="28"/>
          <w:highlight w:val="none"/>
        </w:rPr>
        <w:t>报价一览表</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采购包</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lang w:eastAsia="zh-CN"/>
        </w:rPr>
        <w:t>）</w:t>
      </w:r>
    </w:p>
    <w:p w14:paraId="33ADA87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color w:val="auto"/>
                <w:szCs w:val="21"/>
                <w:highlight w:val="none"/>
              </w:rPr>
            </w:pPr>
            <w:r>
              <w:rPr>
                <w:rFonts w:hint="eastAsia" w:ascii="宋体" w:hAnsi="宋体"/>
                <w:color w:val="auto"/>
                <w:szCs w:val="21"/>
                <w:highlight w:val="none"/>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color w:val="auto"/>
                <w:szCs w:val="21"/>
                <w:highlight w:val="none"/>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color w:val="auto"/>
                <w:szCs w:val="21"/>
                <w:highlight w:val="none"/>
              </w:rPr>
            </w:pPr>
            <w:r>
              <w:rPr>
                <w:rFonts w:hint="eastAsia" w:ascii="宋体" w:hAnsi="宋体"/>
                <w:color w:val="auto"/>
                <w:szCs w:val="21"/>
                <w:highlight w:val="none"/>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大写：人民币              元</w:t>
            </w: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Cs w:val="21"/>
                <w:highlight w:val="none"/>
              </w:rPr>
            </w:pPr>
            <w:r>
              <w:rPr>
                <w:rFonts w:hint="eastAsia" w:ascii="宋体" w:hAnsi="宋体"/>
                <w:color w:val="auto"/>
                <w:szCs w:val="21"/>
                <w:highlight w:val="none"/>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Cs w:val="21"/>
                <w:highlight w:val="none"/>
              </w:rPr>
            </w:pPr>
          </w:p>
        </w:tc>
      </w:tr>
    </w:tbl>
    <w:p w14:paraId="6E459050">
      <w:pPr>
        <w:rPr>
          <w:rFonts w:ascii="宋体" w:hAnsi="宋体"/>
          <w:color w:val="auto"/>
          <w:szCs w:val="21"/>
          <w:highlight w:val="none"/>
        </w:rPr>
      </w:pPr>
    </w:p>
    <w:p w14:paraId="78EF895B">
      <w:pPr>
        <w:pStyle w:val="82"/>
        <w:spacing w:line="360" w:lineRule="exact"/>
        <w:ind w:firstLine="4620"/>
        <w:jc w:val="right"/>
        <w:rPr>
          <w:rFonts w:hAnsi="宋体"/>
          <w:color w:val="auto"/>
          <w:sz w:val="21"/>
          <w:szCs w:val="21"/>
          <w:highlight w:val="none"/>
        </w:rPr>
      </w:pPr>
      <w:r>
        <w:rPr>
          <w:rFonts w:hint="eastAsia" w:hAnsi="宋体" w:eastAsia="宋体"/>
          <w:color w:val="auto"/>
          <w:sz w:val="21"/>
          <w:szCs w:val="21"/>
          <w:highlight w:val="none"/>
        </w:rPr>
        <w:t>年     月     日</w:t>
      </w:r>
      <w:r>
        <w:rPr>
          <w:rFonts w:hint="eastAsia" w:hAnsi="宋体"/>
          <w:color w:val="auto"/>
          <w:sz w:val="21"/>
          <w:szCs w:val="21"/>
          <w:highlight w:val="none"/>
        </w:rPr>
        <w:t xml:space="preserve"> </w:t>
      </w:r>
    </w:p>
    <w:p w14:paraId="200EBB03">
      <w:pPr>
        <w:spacing w:line="360" w:lineRule="auto"/>
        <w:jc w:val="center"/>
        <w:rPr>
          <w:rFonts w:ascii="宋体" w:hAnsi="宋体"/>
          <w:b/>
          <w:color w:val="auto"/>
          <w:szCs w:val="21"/>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28EA9004">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w:t>
      </w:r>
      <w:r>
        <w:rPr>
          <w:rFonts w:hint="eastAsia" w:ascii="宋体" w:hAnsi="宋体" w:cs="宋体"/>
          <w:b/>
          <w:color w:val="auto"/>
          <w:kern w:val="0"/>
          <w:szCs w:val="21"/>
          <w:highlight w:val="none"/>
        </w:rPr>
        <w:t>6.报价明细表</w:t>
      </w:r>
    </w:p>
    <w:p w14:paraId="67845D6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报价明细表</w:t>
      </w:r>
    </w:p>
    <w:p w14:paraId="371711B7">
      <w:pPr>
        <w:snapToGrid w:val="0"/>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 </w:t>
      </w:r>
    </w:p>
    <w:p w14:paraId="161B1822">
      <w:pPr>
        <w:widowControl/>
        <w:snapToGrid w:val="0"/>
        <w:spacing w:line="360" w:lineRule="auto"/>
        <w:rPr>
          <w:rFonts w:hint="eastAsia" w:ascii="宋体" w:hAnsi="宋体" w:cs="Arial"/>
          <w:color w:val="auto"/>
          <w:kern w:val="0"/>
          <w:szCs w:val="21"/>
          <w:highlight w:val="none"/>
        </w:rPr>
      </w:pPr>
    </w:p>
    <w:p w14:paraId="24B8B476">
      <w:pPr>
        <w:widowControl/>
        <w:snapToGrid w:val="0"/>
        <w:spacing w:line="360" w:lineRule="auto"/>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highlight w:val="none"/>
          <w:lang w:val="en-US" w:eastAsia="zh-CN"/>
        </w:rPr>
        <w:t>格式自拟</w:t>
      </w:r>
    </w:p>
    <w:p w14:paraId="14CC6FB9">
      <w:pPr>
        <w:widowControl/>
        <w:snapToGrid w:val="0"/>
        <w:spacing w:line="360" w:lineRule="auto"/>
        <w:rPr>
          <w:rFonts w:hint="eastAsia" w:ascii="宋体" w:hAnsi="宋体" w:cs="Arial"/>
          <w:color w:val="auto"/>
          <w:kern w:val="0"/>
          <w:szCs w:val="21"/>
          <w:highlight w:val="none"/>
        </w:rPr>
      </w:pPr>
    </w:p>
    <w:p w14:paraId="4E1F39A5">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供应商名称（公章）：</w:t>
      </w:r>
    </w:p>
    <w:p w14:paraId="0A0E41DC">
      <w:pPr>
        <w:snapToGrid w:val="0"/>
        <w:spacing w:line="360" w:lineRule="auto"/>
        <w:rPr>
          <w:b/>
          <w:bCs/>
          <w:color w:val="auto"/>
          <w:szCs w:val="21"/>
          <w:highlight w:val="none"/>
        </w:rPr>
      </w:pPr>
    </w:p>
    <w:p w14:paraId="25DDC896">
      <w:pPr>
        <w:rPr>
          <w:rFonts w:ascii="宋体" w:hAnsi="宋体" w:cs="宋体"/>
          <w:b/>
          <w:color w:val="auto"/>
          <w:sz w:val="28"/>
          <w:szCs w:val="28"/>
          <w:highlight w:val="none"/>
        </w:rPr>
      </w:pPr>
    </w:p>
    <w:p w14:paraId="5A545247">
      <w:pPr>
        <w:rPr>
          <w:rFonts w:ascii="宋体" w:hAnsi="宋体" w:cs="宋体"/>
          <w:b/>
          <w:color w:val="auto"/>
          <w:sz w:val="28"/>
          <w:szCs w:val="28"/>
          <w:highlight w:val="none"/>
        </w:rPr>
      </w:pPr>
    </w:p>
    <w:p w14:paraId="1FFFFE68">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2B790303">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附件：7.质保</w:t>
      </w:r>
      <w:r>
        <w:rPr>
          <w:rFonts w:ascii="宋体" w:hAnsi="宋体" w:cs="宋体"/>
          <w:b/>
          <w:color w:val="auto"/>
          <w:kern w:val="0"/>
          <w:szCs w:val="21"/>
          <w:highlight w:val="none"/>
        </w:rPr>
        <w:t>及售后</w:t>
      </w:r>
      <w:r>
        <w:rPr>
          <w:rFonts w:hint="eastAsia" w:ascii="宋体" w:hAnsi="宋体" w:cs="宋体"/>
          <w:b/>
          <w:color w:val="auto"/>
          <w:kern w:val="0"/>
          <w:szCs w:val="21"/>
          <w:highlight w:val="none"/>
        </w:rPr>
        <w:t>服务承诺书</w:t>
      </w:r>
    </w:p>
    <w:p w14:paraId="16382721">
      <w:pPr>
        <w:jc w:val="center"/>
        <w:rPr>
          <w:b/>
          <w:color w:val="auto"/>
          <w:sz w:val="28"/>
          <w:szCs w:val="28"/>
          <w:highlight w:val="none"/>
        </w:rPr>
      </w:pPr>
    </w:p>
    <w:p w14:paraId="2F1D7935">
      <w:pPr>
        <w:jc w:val="center"/>
        <w:rPr>
          <w:b/>
          <w:color w:val="auto"/>
          <w:sz w:val="28"/>
          <w:szCs w:val="28"/>
          <w:highlight w:val="none"/>
        </w:rPr>
      </w:pPr>
      <w:r>
        <w:rPr>
          <w:rFonts w:hint="eastAsia"/>
          <w:b/>
          <w:color w:val="auto"/>
          <w:sz w:val="28"/>
          <w:szCs w:val="28"/>
          <w:highlight w:val="none"/>
        </w:rPr>
        <w:t>质保</w:t>
      </w:r>
      <w:r>
        <w:rPr>
          <w:b/>
          <w:color w:val="auto"/>
          <w:sz w:val="28"/>
          <w:szCs w:val="28"/>
          <w:highlight w:val="none"/>
        </w:rPr>
        <w:t>及售后</w:t>
      </w:r>
      <w:r>
        <w:rPr>
          <w:rFonts w:hint="eastAsia"/>
          <w:b/>
          <w:color w:val="auto"/>
          <w:sz w:val="28"/>
          <w:szCs w:val="28"/>
          <w:highlight w:val="none"/>
        </w:rPr>
        <w:t>服务承诺书</w:t>
      </w:r>
    </w:p>
    <w:p w14:paraId="433604FD">
      <w:pPr>
        <w:spacing w:line="360" w:lineRule="auto"/>
        <w:rPr>
          <w:rFonts w:ascii="宋体" w:hAnsi="宋体" w:cs="宋体"/>
          <w:color w:val="auto"/>
          <w:sz w:val="24"/>
          <w:szCs w:val="24"/>
          <w:highlight w:val="none"/>
        </w:rPr>
      </w:pPr>
    </w:p>
    <w:p w14:paraId="6CF7274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0C438233">
      <w:pPr>
        <w:spacing w:line="360" w:lineRule="auto"/>
        <w:rPr>
          <w:rFonts w:ascii="宋体" w:hAnsi="宋体" w:cs="宋体"/>
          <w:color w:val="auto"/>
          <w:sz w:val="24"/>
          <w:szCs w:val="24"/>
          <w:highlight w:val="none"/>
        </w:rPr>
      </w:pPr>
    </w:p>
    <w:p w14:paraId="70FF46CA">
      <w:pPr>
        <w:spacing w:line="360" w:lineRule="auto"/>
        <w:rPr>
          <w:rFonts w:ascii="宋体" w:hAnsi="宋体" w:cs="宋体"/>
          <w:color w:val="auto"/>
          <w:sz w:val="24"/>
          <w:szCs w:val="24"/>
          <w:highlight w:val="none"/>
        </w:rPr>
      </w:pPr>
    </w:p>
    <w:p w14:paraId="46D0C78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质保</w:t>
      </w:r>
      <w:r>
        <w:rPr>
          <w:rFonts w:ascii="宋体" w:hAnsi="宋体" w:cs="宋体"/>
          <w:color w:val="auto"/>
          <w:sz w:val="24"/>
          <w:szCs w:val="24"/>
          <w:highlight w:val="none"/>
        </w:rPr>
        <w:t>承诺如下：</w:t>
      </w:r>
    </w:p>
    <w:p w14:paraId="0BDCC28D">
      <w:pPr>
        <w:spacing w:line="360" w:lineRule="auto"/>
        <w:rPr>
          <w:rFonts w:ascii="宋体" w:hAnsi="宋体" w:cs="宋体"/>
          <w:color w:val="auto"/>
          <w:sz w:val="24"/>
          <w:szCs w:val="24"/>
          <w:highlight w:val="none"/>
        </w:rPr>
      </w:pPr>
    </w:p>
    <w:p w14:paraId="4C4721F0">
      <w:pPr>
        <w:spacing w:line="360" w:lineRule="auto"/>
        <w:rPr>
          <w:rFonts w:ascii="宋体" w:hAnsi="宋体" w:cs="宋体"/>
          <w:color w:val="auto"/>
          <w:sz w:val="24"/>
          <w:szCs w:val="24"/>
          <w:highlight w:val="none"/>
        </w:rPr>
      </w:pPr>
    </w:p>
    <w:p w14:paraId="61EC0B05">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24BB311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47A57BD8">
      <w:pPr>
        <w:rPr>
          <w:rFonts w:ascii="宋体" w:hAnsi="宋体" w:cs="宋体"/>
          <w:color w:val="auto"/>
          <w:sz w:val="24"/>
          <w:szCs w:val="24"/>
          <w:highlight w:val="none"/>
        </w:rPr>
      </w:pPr>
    </w:p>
    <w:p w14:paraId="1605A668">
      <w:pPr>
        <w:rPr>
          <w:rFonts w:ascii="宋体" w:hAnsi="宋体" w:cs="宋体"/>
          <w:color w:val="auto"/>
          <w:sz w:val="24"/>
          <w:szCs w:val="24"/>
          <w:highlight w:val="none"/>
        </w:rPr>
      </w:pPr>
    </w:p>
    <w:p w14:paraId="18AF44BB">
      <w:pPr>
        <w:rPr>
          <w:rFonts w:ascii="宋体" w:hAnsi="宋体" w:cs="宋体"/>
          <w:color w:val="auto"/>
          <w:sz w:val="24"/>
          <w:szCs w:val="24"/>
          <w:highlight w:val="none"/>
        </w:rPr>
      </w:pPr>
    </w:p>
    <w:p w14:paraId="693C5435">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附件：8.偏离表</w:t>
      </w:r>
    </w:p>
    <w:p w14:paraId="7326F4B1">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F1750F8">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6275A38E">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1539B41C">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0B7F4B02">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4EA3CBBA">
            <w:pPr>
              <w:rPr>
                <w:rFonts w:ascii="宋体" w:hAnsi="宋体" w:cs="宋体"/>
                <w:color w:val="auto"/>
                <w:szCs w:val="21"/>
                <w:highlight w:val="none"/>
              </w:rPr>
            </w:pPr>
            <w:r>
              <w:rPr>
                <w:rFonts w:hint="eastAsia" w:ascii="宋体" w:hAnsi="宋体" w:cs="宋体"/>
                <w:color w:val="auto"/>
                <w:szCs w:val="21"/>
                <w:highlight w:val="none"/>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color w:val="auto"/>
                <w:szCs w:val="21"/>
                <w:highlight w:val="none"/>
              </w:rPr>
            </w:pPr>
          </w:p>
        </w:tc>
        <w:tc>
          <w:tcPr>
            <w:tcW w:w="2132" w:type="dxa"/>
          </w:tcPr>
          <w:p w14:paraId="5AF1894E">
            <w:pPr>
              <w:rPr>
                <w:rFonts w:ascii="宋体" w:hAnsi="宋体" w:cs="宋体"/>
                <w:color w:val="auto"/>
                <w:szCs w:val="21"/>
                <w:highlight w:val="none"/>
              </w:rPr>
            </w:pPr>
          </w:p>
        </w:tc>
        <w:tc>
          <w:tcPr>
            <w:tcW w:w="3044" w:type="dxa"/>
          </w:tcPr>
          <w:p w14:paraId="190036E8">
            <w:pPr>
              <w:rPr>
                <w:rFonts w:ascii="宋体" w:hAnsi="宋体" w:cs="宋体"/>
                <w:color w:val="auto"/>
                <w:szCs w:val="21"/>
                <w:highlight w:val="none"/>
              </w:rPr>
            </w:pPr>
          </w:p>
        </w:tc>
        <w:tc>
          <w:tcPr>
            <w:tcW w:w="1440" w:type="dxa"/>
          </w:tcPr>
          <w:p w14:paraId="3BF5FD1A">
            <w:pPr>
              <w:rPr>
                <w:rFonts w:ascii="宋体" w:hAnsi="宋体" w:cs="宋体"/>
                <w:color w:val="auto"/>
                <w:szCs w:val="21"/>
                <w:highlight w:val="none"/>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color w:val="auto"/>
                <w:szCs w:val="21"/>
                <w:highlight w:val="none"/>
              </w:rPr>
            </w:pPr>
          </w:p>
        </w:tc>
        <w:tc>
          <w:tcPr>
            <w:tcW w:w="2132" w:type="dxa"/>
          </w:tcPr>
          <w:p w14:paraId="7345D30D">
            <w:pPr>
              <w:rPr>
                <w:rFonts w:ascii="宋体" w:hAnsi="宋体" w:cs="宋体"/>
                <w:color w:val="auto"/>
                <w:szCs w:val="21"/>
                <w:highlight w:val="none"/>
              </w:rPr>
            </w:pPr>
          </w:p>
        </w:tc>
        <w:tc>
          <w:tcPr>
            <w:tcW w:w="3044" w:type="dxa"/>
          </w:tcPr>
          <w:p w14:paraId="7E455AA2">
            <w:pPr>
              <w:rPr>
                <w:rFonts w:ascii="宋体" w:hAnsi="宋体" w:cs="宋体"/>
                <w:color w:val="auto"/>
                <w:szCs w:val="21"/>
                <w:highlight w:val="none"/>
              </w:rPr>
            </w:pPr>
          </w:p>
        </w:tc>
        <w:tc>
          <w:tcPr>
            <w:tcW w:w="1440" w:type="dxa"/>
          </w:tcPr>
          <w:p w14:paraId="5345AE70">
            <w:pPr>
              <w:rPr>
                <w:rFonts w:ascii="宋体" w:hAnsi="宋体" w:cs="宋体"/>
                <w:color w:val="auto"/>
                <w:szCs w:val="21"/>
                <w:highlight w:val="none"/>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color w:val="auto"/>
                <w:szCs w:val="21"/>
                <w:highlight w:val="none"/>
              </w:rPr>
            </w:pPr>
          </w:p>
        </w:tc>
        <w:tc>
          <w:tcPr>
            <w:tcW w:w="2132" w:type="dxa"/>
          </w:tcPr>
          <w:p w14:paraId="5A935E4F">
            <w:pPr>
              <w:rPr>
                <w:rFonts w:ascii="宋体" w:hAnsi="宋体" w:cs="宋体"/>
                <w:color w:val="auto"/>
                <w:szCs w:val="21"/>
                <w:highlight w:val="none"/>
              </w:rPr>
            </w:pPr>
          </w:p>
        </w:tc>
        <w:tc>
          <w:tcPr>
            <w:tcW w:w="3044" w:type="dxa"/>
          </w:tcPr>
          <w:p w14:paraId="2698A5AC">
            <w:pPr>
              <w:rPr>
                <w:rFonts w:ascii="宋体" w:hAnsi="宋体" w:cs="宋体"/>
                <w:color w:val="auto"/>
                <w:szCs w:val="21"/>
                <w:highlight w:val="none"/>
              </w:rPr>
            </w:pPr>
          </w:p>
        </w:tc>
        <w:tc>
          <w:tcPr>
            <w:tcW w:w="1440" w:type="dxa"/>
          </w:tcPr>
          <w:p w14:paraId="64AB6D65">
            <w:pPr>
              <w:rPr>
                <w:rFonts w:ascii="宋体" w:hAnsi="宋体" w:cs="宋体"/>
                <w:color w:val="auto"/>
                <w:szCs w:val="21"/>
                <w:highlight w:val="none"/>
              </w:rPr>
            </w:pPr>
          </w:p>
        </w:tc>
      </w:tr>
    </w:tbl>
    <w:p w14:paraId="4C6B33AC">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44443B6">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67977D44">
      <w:pPr>
        <w:rPr>
          <w:rFonts w:ascii="宋体" w:hAnsi="宋体" w:cs="宋体"/>
          <w:color w:val="auto"/>
          <w:sz w:val="24"/>
          <w:szCs w:val="24"/>
          <w:highlight w:val="none"/>
        </w:rPr>
      </w:pPr>
    </w:p>
    <w:p w14:paraId="38704FFA">
      <w:pPr>
        <w:rPr>
          <w:rFonts w:ascii="宋体" w:hAnsi="宋体" w:cs="宋体"/>
          <w:color w:val="auto"/>
          <w:sz w:val="24"/>
          <w:szCs w:val="24"/>
          <w:highlight w:val="none"/>
        </w:rPr>
      </w:pPr>
    </w:p>
    <w:p w14:paraId="543CA477">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59"/>
      </w:rPr>
    </w:pPr>
    <w:r>
      <w:fldChar w:fldCharType="begin"/>
    </w:r>
    <w:r>
      <w:rPr>
        <w:rStyle w:val="59"/>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3D44AD"/>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2331ABF"/>
    <w:rsid w:val="027619AC"/>
    <w:rsid w:val="03547F3F"/>
    <w:rsid w:val="036F2FCB"/>
    <w:rsid w:val="0425785D"/>
    <w:rsid w:val="04561A95"/>
    <w:rsid w:val="056401E1"/>
    <w:rsid w:val="05945F86"/>
    <w:rsid w:val="06DF5DF9"/>
    <w:rsid w:val="07195727"/>
    <w:rsid w:val="081C4DA3"/>
    <w:rsid w:val="087B7D1C"/>
    <w:rsid w:val="08940DDD"/>
    <w:rsid w:val="0AA03A6A"/>
    <w:rsid w:val="0B00187B"/>
    <w:rsid w:val="0B331BEE"/>
    <w:rsid w:val="0B5C1EEC"/>
    <w:rsid w:val="0B8D2B18"/>
    <w:rsid w:val="0DEB14A0"/>
    <w:rsid w:val="0F1961FF"/>
    <w:rsid w:val="0F503CB0"/>
    <w:rsid w:val="10074400"/>
    <w:rsid w:val="109776BD"/>
    <w:rsid w:val="10D426BF"/>
    <w:rsid w:val="11B322D4"/>
    <w:rsid w:val="11E923CA"/>
    <w:rsid w:val="129760EE"/>
    <w:rsid w:val="12993BC0"/>
    <w:rsid w:val="13FC4407"/>
    <w:rsid w:val="145E7E5D"/>
    <w:rsid w:val="16077093"/>
    <w:rsid w:val="164F25E9"/>
    <w:rsid w:val="17237EFC"/>
    <w:rsid w:val="17253C74"/>
    <w:rsid w:val="1798021E"/>
    <w:rsid w:val="17B62B1E"/>
    <w:rsid w:val="17B6418E"/>
    <w:rsid w:val="1AB71087"/>
    <w:rsid w:val="1C4C57FF"/>
    <w:rsid w:val="1CC96E50"/>
    <w:rsid w:val="1D2E3157"/>
    <w:rsid w:val="1EDD63B3"/>
    <w:rsid w:val="1EF27252"/>
    <w:rsid w:val="1F961BB7"/>
    <w:rsid w:val="207215AC"/>
    <w:rsid w:val="20B3409F"/>
    <w:rsid w:val="22235254"/>
    <w:rsid w:val="2265586D"/>
    <w:rsid w:val="22D4654E"/>
    <w:rsid w:val="22E36792"/>
    <w:rsid w:val="23422376"/>
    <w:rsid w:val="23743C21"/>
    <w:rsid w:val="241E3F25"/>
    <w:rsid w:val="255C6D0E"/>
    <w:rsid w:val="25B032A3"/>
    <w:rsid w:val="260C4691"/>
    <w:rsid w:val="26192BF6"/>
    <w:rsid w:val="26BD5C77"/>
    <w:rsid w:val="27781B9E"/>
    <w:rsid w:val="27906876"/>
    <w:rsid w:val="28CB75D1"/>
    <w:rsid w:val="295C6E2D"/>
    <w:rsid w:val="2B6C5991"/>
    <w:rsid w:val="2B801021"/>
    <w:rsid w:val="2C5F50DB"/>
    <w:rsid w:val="2C8514E3"/>
    <w:rsid w:val="2D7921CC"/>
    <w:rsid w:val="2DEE2DD7"/>
    <w:rsid w:val="2EAD4823"/>
    <w:rsid w:val="2F4F58DB"/>
    <w:rsid w:val="2FEA13D8"/>
    <w:rsid w:val="300C7328"/>
    <w:rsid w:val="30E12AA0"/>
    <w:rsid w:val="3118482D"/>
    <w:rsid w:val="3165057B"/>
    <w:rsid w:val="325B6344"/>
    <w:rsid w:val="32A379BA"/>
    <w:rsid w:val="32CB5D08"/>
    <w:rsid w:val="335F3C12"/>
    <w:rsid w:val="3578536D"/>
    <w:rsid w:val="35C443F0"/>
    <w:rsid w:val="35F76E1E"/>
    <w:rsid w:val="360D204B"/>
    <w:rsid w:val="37E72F6D"/>
    <w:rsid w:val="38344524"/>
    <w:rsid w:val="38B247E4"/>
    <w:rsid w:val="39AA0A2F"/>
    <w:rsid w:val="3AEA5448"/>
    <w:rsid w:val="3B45740C"/>
    <w:rsid w:val="3C29300F"/>
    <w:rsid w:val="3C983514"/>
    <w:rsid w:val="3CAA23A2"/>
    <w:rsid w:val="3CF81D16"/>
    <w:rsid w:val="3D605157"/>
    <w:rsid w:val="3D78424E"/>
    <w:rsid w:val="3EA82911"/>
    <w:rsid w:val="3ECF5E37"/>
    <w:rsid w:val="3F2C52F0"/>
    <w:rsid w:val="3F4C7741"/>
    <w:rsid w:val="3F740A45"/>
    <w:rsid w:val="404F2310"/>
    <w:rsid w:val="40696FCE"/>
    <w:rsid w:val="41776F21"/>
    <w:rsid w:val="41AD2F9D"/>
    <w:rsid w:val="42DF0A26"/>
    <w:rsid w:val="43C27FD1"/>
    <w:rsid w:val="44B6565C"/>
    <w:rsid w:val="45615A34"/>
    <w:rsid w:val="456B28EB"/>
    <w:rsid w:val="45DF3A61"/>
    <w:rsid w:val="46887D07"/>
    <w:rsid w:val="47A85730"/>
    <w:rsid w:val="4AF313B8"/>
    <w:rsid w:val="4BC14C0A"/>
    <w:rsid w:val="4C210C7A"/>
    <w:rsid w:val="4CC07A9B"/>
    <w:rsid w:val="4EC70B92"/>
    <w:rsid w:val="4F3877A3"/>
    <w:rsid w:val="509513C3"/>
    <w:rsid w:val="51200A2D"/>
    <w:rsid w:val="517D13CC"/>
    <w:rsid w:val="54AD082A"/>
    <w:rsid w:val="54F17A3A"/>
    <w:rsid w:val="561E348E"/>
    <w:rsid w:val="56312D95"/>
    <w:rsid w:val="566C6184"/>
    <w:rsid w:val="56764C4B"/>
    <w:rsid w:val="56890E23"/>
    <w:rsid w:val="568B06F7"/>
    <w:rsid w:val="569E667C"/>
    <w:rsid w:val="56C97471"/>
    <w:rsid w:val="56F20776"/>
    <w:rsid w:val="584559AE"/>
    <w:rsid w:val="597B2CA5"/>
    <w:rsid w:val="5C8A536F"/>
    <w:rsid w:val="5CA70254"/>
    <w:rsid w:val="5CCF3DB5"/>
    <w:rsid w:val="5CE86178"/>
    <w:rsid w:val="5D094A6B"/>
    <w:rsid w:val="5D23159A"/>
    <w:rsid w:val="5DE60909"/>
    <w:rsid w:val="5E8919FE"/>
    <w:rsid w:val="5E9D546B"/>
    <w:rsid w:val="600C0AFA"/>
    <w:rsid w:val="60F375C4"/>
    <w:rsid w:val="62612C54"/>
    <w:rsid w:val="63924D05"/>
    <w:rsid w:val="646B7DB9"/>
    <w:rsid w:val="650A312E"/>
    <w:rsid w:val="651A43A3"/>
    <w:rsid w:val="66157FDD"/>
    <w:rsid w:val="665705F5"/>
    <w:rsid w:val="66965114"/>
    <w:rsid w:val="672E29D7"/>
    <w:rsid w:val="691A385D"/>
    <w:rsid w:val="69473DBD"/>
    <w:rsid w:val="69A63917"/>
    <w:rsid w:val="6A405C4B"/>
    <w:rsid w:val="6A6E4160"/>
    <w:rsid w:val="6B4D0219"/>
    <w:rsid w:val="6C3039E9"/>
    <w:rsid w:val="6D375342"/>
    <w:rsid w:val="6D410882"/>
    <w:rsid w:val="6E500D6E"/>
    <w:rsid w:val="6E943FED"/>
    <w:rsid w:val="6F23376B"/>
    <w:rsid w:val="6FED3D79"/>
    <w:rsid w:val="701D1F8B"/>
    <w:rsid w:val="71303ED2"/>
    <w:rsid w:val="71416999"/>
    <w:rsid w:val="71905B4B"/>
    <w:rsid w:val="71D60BAF"/>
    <w:rsid w:val="72FC67AC"/>
    <w:rsid w:val="73171838"/>
    <w:rsid w:val="73326672"/>
    <w:rsid w:val="73663A61"/>
    <w:rsid w:val="74AD15FA"/>
    <w:rsid w:val="750850DA"/>
    <w:rsid w:val="752D11BC"/>
    <w:rsid w:val="756141E1"/>
    <w:rsid w:val="759C6025"/>
    <w:rsid w:val="77466F96"/>
    <w:rsid w:val="77470FAD"/>
    <w:rsid w:val="784F47ED"/>
    <w:rsid w:val="789C6DCF"/>
    <w:rsid w:val="7940414F"/>
    <w:rsid w:val="7A277378"/>
    <w:rsid w:val="7AB45BBF"/>
    <w:rsid w:val="7B480F6F"/>
    <w:rsid w:val="7BA2010D"/>
    <w:rsid w:val="7BA94791"/>
    <w:rsid w:val="7BC6204D"/>
    <w:rsid w:val="7CA659DB"/>
    <w:rsid w:val="7CC540B3"/>
    <w:rsid w:val="7DCC321F"/>
    <w:rsid w:val="7E1075B0"/>
    <w:rsid w:val="7E12157A"/>
    <w:rsid w:val="7E3F60E7"/>
    <w:rsid w:val="7EF42A2E"/>
    <w:rsid w:val="7F3E1EFB"/>
    <w:rsid w:val="7F4D475C"/>
    <w:rsid w:val="7F6E6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basedOn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character" w:customStyle="1" w:styleId="84">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7812</Words>
  <Characters>8181</Characters>
  <Lines>139</Lines>
  <Paragraphs>39</Paragraphs>
  <TotalTime>0</TotalTime>
  <ScaleCrop>false</ScaleCrop>
  <LinksUpToDate>false</LinksUpToDate>
  <CharactersWithSpaces>8331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2026-04-13T02:00:43Z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eyJoZGlkIjoiZDBiNTA3OWI5NTI5NzliMDdhOTA5Nzg1YzIyNTUzZDkiLCJ1c2VySWQiOiIyNzYwMTEwNDMifQ==</vt:lpwstr>
  </property>
  <property fmtid="{D5CDD505-2E9C-101B-9397-08002B2CF9AE}" pid="4" name="ICV">
    <vt:lpwstr>9F222DC0627140D1AF9106B83E3B489D_13</vt:lpwstr>
  </property>
</Properties>
</file>