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FE068">
      <w:pPr>
        <w:jc w:val="left"/>
        <w:rPr>
          <w:rFonts w:ascii="宋体" w:hAnsi="宋体" w:cs="宋体"/>
          <w:color w:val="auto"/>
          <w:sz w:val="44"/>
          <w:szCs w:val="44"/>
          <w:highlight w:val="none"/>
        </w:rPr>
      </w:pPr>
    </w:p>
    <w:p w14:paraId="7A00D157">
      <w:pPr>
        <w:tabs>
          <w:tab w:val="left" w:pos="2450"/>
        </w:tabs>
        <w:spacing w:line="680" w:lineRule="exact"/>
        <w:rPr>
          <w:rFonts w:ascii="宋体" w:hAnsi="宋体" w:cs="宋体"/>
          <w:color w:val="auto"/>
          <w:sz w:val="44"/>
          <w:szCs w:val="44"/>
          <w:highlight w:val="none"/>
        </w:rPr>
      </w:pPr>
    </w:p>
    <w:p w14:paraId="0C6BF576">
      <w:pPr>
        <w:snapToGrid w:val="0"/>
        <w:spacing w:line="360" w:lineRule="auto"/>
        <w:jc w:val="center"/>
        <w:rPr>
          <w:rFonts w:ascii="宋体" w:hAnsi="宋体" w:cs="宋体"/>
          <w:b/>
          <w:color w:val="auto"/>
          <w:spacing w:val="170"/>
          <w:kern w:val="0"/>
          <w:sz w:val="84"/>
          <w:szCs w:val="84"/>
          <w:highlight w:val="none"/>
        </w:rPr>
      </w:pPr>
    </w:p>
    <w:p w14:paraId="24B47747">
      <w:pPr>
        <w:snapToGrid w:val="0"/>
        <w:spacing w:line="360" w:lineRule="auto"/>
        <w:jc w:val="center"/>
        <w:rPr>
          <w:rFonts w:ascii="宋体" w:hAnsi="宋体" w:cs="宋体"/>
          <w:b/>
          <w:color w:val="auto"/>
          <w:spacing w:val="170"/>
          <w:kern w:val="0"/>
          <w:sz w:val="84"/>
          <w:szCs w:val="84"/>
          <w:highlight w:val="none"/>
        </w:rPr>
      </w:pPr>
      <w:r>
        <w:rPr>
          <w:rFonts w:hint="eastAsia" w:ascii="宋体" w:hAnsi="宋体" w:cs="宋体"/>
          <w:b/>
          <w:color w:val="auto"/>
          <w:spacing w:val="170"/>
          <w:kern w:val="0"/>
          <w:sz w:val="84"/>
          <w:szCs w:val="84"/>
          <w:highlight w:val="none"/>
        </w:rPr>
        <w:t>竞争性磋商</w:t>
      </w:r>
      <w:r>
        <w:rPr>
          <w:rFonts w:hint="eastAsia" w:ascii="宋体" w:hAnsi="宋体" w:cs="宋体"/>
          <w:b/>
          <w:color w:val="auto"/>
          <w:spacing w:val="170"/>
          <w:sz w:val="84"/>
          <w:szCs w:val="84"/>
          <w:highlight w:val="none"/>
        </w:rPr>
        <w:t>文件</w:t>
      </w:r>
    </w:p>
    <w:p w14:paraId="3A50963E">
      <w:pPr>
        <w:tabs>
          <w:tab w:val="left" w:pos="2450"/>
        </w:tabs>
        <w:spacing w:line="680" w:lineRule="exact"/>
        <w:rPr>
          <w:rFonts w:ascii="宋体" w:hAnsi="宋体" w:cs="宋体"/>
          <w:color w:val="auto"/>
          <w:sz w:val="44"/>
          <w:szCs w:val="44"/>
          <w:highlight w:val="none"/>
        </w:rPr>
      </w:pPr>
      <w:r>
        <w:rPr>
          <w:rFonts w:hint="eastAsia" w:ascii="宋体" w:hAnsi="宋体" w:cs="宋体"/>
          <w:color w:val="auto"/>
          <w:sz w:val="44"/>
          <w:szCs w:val="44"/>
          <w:highlight w:val="none"/>
        </w:rPr>
        <w:tab/>
      </w:r>
    </w:p>
    <w:p w14:paraId="40A08BE2">
      <w:pPr>
        <w:adjustRightInd w:val="0"/>
        <w:snapToGrid w:val="0"/>
        <w:spacing w:line="800" w:lineRule="exact"/>
        <w:rPr>
          <w:rFonts w:ascii="宋体" w:hAnsi="宋体" w:cs="宋体"/>
          <w:color w:val="auto"/>
          <w:sz w:val="44"/>
          <w:szCs w:val="44"/>
          <w:highlight w:val="none"/>
        </w:rPr>
      </w:pPr>
    </w:p>
    <w:p w14:paraId="6A234241">
      <w:pPr>
        <w:adjustRightInd w:val="0"/>
        <w:snapToGrid w:val="0"/>
        <w:spacing w:line="800" w:lineRule="exact"/>
        <w:rPr>
          <w:rFonts w:ascii="宋体" w:hAnsi="宋体" w:cs="宋体"/>
          <w:bCs/>
          <w:color w:val="auto"/>
          <w:sz w:val="28"/>
          <w:szCs w:val="32"/>
          <w:highlight w:val="none"/>
        </w:rPr>
      </w:pPr>
      <w:r>
        <w:rPr>
          <w:rFonts w:hint="eastAsia" w:ascii="宋体" w:hAnsi="宋体" w:cs="宋体"/>
          <w:bCs/>
          <w:color w:val="auto"/>
          <w:sz w:val="28"/>
          <w:szCs w:val="32"/>
          <w:highlight w:val="none"/>
        </w:rPr>
        <w:t>采购项目编号：CT-SC-2026322</w:t>
      </w:r>
    </w:p>
    <w:p w14:paraId="65B199B1">
      <w:pPr>
        <w:adjustRightInd w:val="0"/>
        <w:snapToGrid w:val="0"/>
        <w:spacing w:line="800" w:lineRule="exact"/>
        <w:rPr>
          <w:rFonts w:ascii="宋体" w:hAnsi="宋体" w:cs="宋体"/>
          <w:bCs/>
          <w:color w:val="auto"/>
          <w:sz w:val="28"/>
          <w:szCs w:val="32"/>
          <w:highlight w:val="none"/>
        </w:rPr>
      </w:pPr>
      <w:r>
        <w:rPr>
          <w:rFonts w:hint="eastAsia" w:ascii="宋体" w:hAnsi="宋体" w:cs="宋体"/>
          <w:bCs/>
          <w:color w:val="auto"/>
          <w:sz w:val="28"/>
          <w:szCs w:val="32"/>
          <w:highlight w:val="none"/>
        </w:rPr>
        <w:t xml:space="preserve">采购项目名称：2025年高速、高架配套跟踪审计服务项目 </w:t>
      </w:r>
    </w:p>
    <w:p w14:paraId="69621296">
      <w:pPr>
        <w:adjustRightInd w:val="0"/>
        <w:snapToGrid w:val="0"/>
        <w:spacing w:line="800" w:lineRule="exact"/>
        <w:rPr>
          <w:rFonts w:ascii="宋体" w:hAnsi="宋体" w:cs="宋体"/>
          <w:bCs/>
          <w:color w:val="auto"/>
          <w:sz w:val="28"/>
          <w:szCs w:val="32"/>
          <w:highlight w:val="none"/>
        </w:rPr>
      </w:pPr>
      <w:r>
        <w:rPr>
          <w:rFonts w:hint="eastAsia" w:ascii="宋体" w:hAnsi="宋体" w:cs="宋体"/>
          <w:bCs/>
          <w:color w:val="auto"/>
          <w:spacing w:val="30"/>
          <w:sz w:val="28"/>
          <w:szCs w:val="32"/>
          <w:highlight w:val="none"/>
        </w:rPr>
        <w:t>采购人名</w:t>
      </w:r>
      <w:r>
        <w:rPr>
          <w:rFonts w:hint="eastAsia" w:ascii="宋体" w:hAnsi="宋体" w:cs="宋体"/>
          <w:bCs/>
          <w:color w:val="auto"/>
          <w:sz w:val="28"/>
          <w:szCs w:val="32"/>
          <w:highlight w:val="none"/>
        </w:rPr>
        <w:t xml:space="preserve">称：常州市公安局 </w:t>
      </w:r>
    </w:p>
    <w:p w14:paraId="726FE4EC">
      <w:pPr>
        <w:spacing w:line="680" w:lineRule="exact"/>
        <w:jc w:val="center"/>
        <w:rPr>
          <w:rFonts w:ascii="宋体" w:hAnsi="宋体" w:cs="宋体"/>
          <w:color w:val="auto"/>
          <w:sz w:val="44"/>
          <w:szCs w:val="44"/>
          <w:highlight w:val="none"/>
        </w:rPr>
      </w:pPr>
    </w:p>
    <w:p w14:paraId="49AE292B">
      <w:pPr>
        <w:spacing w:line="680" w:lineRule="exact"/>
        <w:jc w:val="center"/>
        <w:rPr>
          <w:rFonts w:ascii="宋体" w:hAnsi="宋体" w:cs="宋体"/>
          <w:color w:val="auto"/>
          <w:sz w:val="44"/>
          <w:szCs w:val="44"/>
          <w:highlight w:val="none"/>
        </w:rPr>
      </w:pPr>
    </w:p>
    <w:p w14:paraId="396E4524">
      <w:pPr>
        <w:spacing w:line="480" w:lineRule="exact"/>
        <w:ind w:firstLine="750" w:firstLineChars="250"/>
        <w:jc w:val="center"/>
        <w:rPr>
          <w:rFonts w:ascii="宋体" w:hAnsi="宋体" w:cs="宋体"/>
          <w:color w:val="auto"/>
          <w:sz w:val="30"/>
          <w:szCs w:val="30"/>
          <w:highlight w:val="none"/>
        </w:rPr>
      </w:pPr>
    </w:p>
    <w:p w14:paraId="565F4CD8">
      <w:pPr>
        <w:spacing w:line="480" w:lineRule="exact"/>
        <w:jc w:val="center"/>
        <w:rPr>
          <w:rFonts w:ascii="宋体" w:hAnsi="宋体" w:cs="宋体"/>
          <w:color w:val="auto"/>
          <w:sz w:val="36"/>
          <w:szCs w:val="36"/>
          <w:highlight w:val="none"/>
        </w:rPr>
      </w:pPr>
    </w:p>
    <w:p w14:paraId="2113E159">
      <w:pPr>
        <w:spacing w:line="480" w:lineRule="exact"/>
        <w:jc w:val="center"/>
        <w:rPr>
          <w:rFonts w:ascii="宋体" w:hAnsi="宋体" w:cs="宋体"/>
          <w:color w:val="auto"/>
          <w:sz w:val="36"/>
          <w:szCs w:val="36"/>
          <w:highlight w:val="none"/>
        </w:rPr>
      </w:pPr>
      <w:r>
        <w:rPr>
          <w:rFonts w:hint="eastAsia" w:ascii="宋体" w:hAnsi="宋体" w:cs="宋体"/>
          <w:color w:val="auto"/>
          <w:sz w:val="36"/>
          <w:szCs w:val="36"/>
          <w:highlight w:val="none"/>
        </w:rPr>
        <w:t>常州市城投建设工程招标有限公司</w:t>
      </w:r>
    </w:p>
    <w:p w14:paraId="12B8D5DF">
      <w:pPr>
        <w:jc w:val="center"/>
        <w:rPr>
          <w:rFonts w:ascii="宋体" w:hAnsi="宋体" w:cs="宋体"/>
          <w:color w:val="auto"/>
          <w:sz w:val="36"/>
          <w:szCs w:val="36"/>
          <w:highlight w:val="none"/>
        </w:rPr>
      </w:pPr>
    </w:p>
    <w:p w14:paraId="57F18AE0">
      <w:pPr>
        <w:spacing w:before="100" w:after="240" w:line="500" w:lineRule="exact"/>
        <w:jc w:val="center"/>
        <w:rPr>
          <w:rFonts w:ascii="宋体" w:hAnsi="宋体" w:cs="宋体"/>
          <w:b/>
          <w:color w:val="auto"/>
          <w:sz w:val="44"/>
          <w:szCs w:val="44"/>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val="en-US" w:eastAsia="zh-CN"/>
        </w:rPr>
        <w:t>六</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九</w:t>
      </w:r>
      <w:r>
        <w:rPr>
          <w:rFonts w:hint="eastAsia" w:ascii="宋体" w:hAnsi="宋体" w:cs="宋体"/>
          <w:color w:val="auto"/>
          <w:w w:val="90"/>
          <w:sz w:val="44"/>
          <w:szCs w:val="44"/>
          <w:highlight w:val="none"/>
        </w:rPr>
        <w:t>月</w:t>
      </w:r>
    </w:p>
    <w:p w14:paraId="68699C6C">
      <w:pPr>
        <w:spacing w:before="100" w:after="240" w:line="500" w:lineRule="exact"/>
        <w:jc w:val="center"/>
        <w:rPr>
          <w:rFonts w:ascii="宋体" w:hAnsi="宋体" w:cs="宋体"/>
          <w:b/>
          <w:color w:val="auto"/>
          <w:sz w:val="44"/>
          <w:szCs w:val="44"/>
          <w:highlight w:val="none"/>
        </w:rPr>
      </w:pPr>
    </w:p>
    <w:sdt>
      <w:sdtPr>
        <w:rPr>
          <w:rFonts w:hint="eastAsia" w:ascii="宋体" w:hAnsi="宋体" w:eastAsia="宋体" w:cs="宋体"/>
          <w:b w:val="0"/>
          <w:bCs w:val="0"/>
          <w:color w:val="auto"/>
          <w:kern w:val="2"/>
          <w:sz w:val="21"/>
          <w:szCs w:val="20"/>
          <w:highlight w:val="none"/>
          <w:lang w:val="zh-CN"/>
        </w:rPr>
        <w:id w:val="18226460"/>
        <w:docPartObj>
          <w:docPartGallery w:val="Table of Contents"/>
          <w:docPartUnique/>
        </w:docPartObj>
      </w:sdtPr>
      <w:sdtEndPr>
        <w:rPr>
          <w:rFonts w:hint="eastAsia" w:ascii="宋体" w:hAnsi="宋体" w:eastAsia="宋体" w:cs="宋体"/>
          <w:b w:val="0"/>
          <w:bCs w:val="0"/>
          <w:color w:val="auto"/>
          <w:kern w:val="2"/>
          <w:sz w:val="21"/>
          <w:szCs w:val="20"/>
          <w:highlight w:val="none"/>
          <w:lang w:val="en-US"/>
        </w:rPr>
      </w:sdtEndPr>
      <w:sdtContent>
        <w:p w14:paraId="36A2CE66">
          <w:pPr>
            <w:pStyle w:val="65"/>
            <w:spacing w:line="1140" w:lineRule="auto"/>
            <w:jc w:val="center"/>
            <w:rPr>
              <w:rFonts w:ascii="宋体" w:hAnsi="宋体" w:eastAsia="宋体" w:cs="宋体"/>
              <w:color w:val="auto"/>
              <w:highlight w:val="none"/>
            </w:rPr>
          </w:pPr>
          <w:r>
            <w:rPr>
              <w:rFonts w:hint="eastAsia" w:ascii="宋体" w:hAnsi="宋体" w:eastAsia="宋体" w:cs="宋体"/>
              <w:color w:val="auto"/>
              <w:sz w:val="44"/>
              <w:szCs w:val="44"/>
              <w:highlight w:val="none"/>
              <w:lang w:val="zh-CN"/>
            </w:rPr>
            <w:t>目  录</w:t>
          </w:r>
        </w:p>
        <w:p w14:paraId="1ED4FFDD">
          <w:pPr>
            <w:pStyle w:val="19"/>
            <w:tabs>
              <w:tab w:val="right" w:leader="dot" w:pos="8296"/>
            </w:tabs>
            <w:rPr>
              <w:rFonts w:ascii="宋体" w:hAnsi="宋体" w:cs="宋体"/>
              <w:b w:val="0"/>
              <w:color w:val="auto"/>
              <w:sz w:val="21"/>
              <w:szCs w:val="22"/>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TOC \o "1-3" \h \z \u </w:instrText>
          </w:r>
          <w:r>
            <w:rPr>
              <w:rFonts w:hint="eastAsia" w:ascii="宋体" w:hAnsi="宋体" w:cs="宋体"/>
              <w:color w:val="auto"/>
              <w:highlight w:val="none"/>
            </w:rPr>
            <w:fldChar w:fldCharType="separate"/>
          </w:r>
          <w:r>
            <w:rPr>
              <w:color w:val="auto"/>
              <w:highlight w:val="none"/>
            </w:rPr>
            <w:fldChar w:fldCharType="begin"/>
          </w:r>
          <w:r>
            <w:rPr>
              <w:color w:val="auto"/>
              <w:highlight w:val="none"/>
            </w:rPr>
            <w:instrText xml:space="preserve"> HYPERLINK \l "_Toc17536322" </w:instrText>
          </w:r>
          <w:r>
            <w:rPr>
              <w:color w:val="auto"/>
              <w:highlight w:val="none"/>
            </w:rPr>
            <w:fldChar w:fldCharType="separate"/>
          </w:r>
          <w:r>
            <w:rPr>
              <w:rStyle w:val="30"/>
              <w:rFonts w:hint="eastAsia" w:ascii="宋体" w:hAnsi="宋体" w:cs="宋体"/>
              <w:color w:val="auto"/>
              <w:highlight w:val="none"/>
            </w:rPr>
            <w:t>竞争性磋商公告</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_Toc17536322 \h </w:instrText>
          </w:r>
          <w:r>
            <w:rPr>
              <w:rFonts w:hint="eastAsia" w:ascii="宋体" w:hAnsi="宋体" w:cs="宋体"/>
              <w:color w:val="auto"/>
              <w:highlight w:val="none"/>
            </w:rPr>
            <w:fldChar w:fldCharType="separate"/>
          </w:r>
          <w:r>
            <w:rPr>
              <w:rFonts w:hint="eastAsia" w:ascii="宋体" w:hAnsi="宋体" w:cs="宋体"/>
              <w:color w:val="auto"/>
              <w:highlight w:val="none"/>
            </w:rPr>
            <w:t>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C688ED5">
          <w:pPr>
            <w:pStyle w:val="19"/>
            <w:tabs>
              <w:tab w:val="right" w:leader="dot" w:pos="8296"/>
            </w:tabs>
            <w:rPr>
              <w:rFonts w:ascii="宋体" w:hAnsi="宋体" w:cs="宋体"/>
              <w:b w:val="0"/>
              <w:color w:val="auto"/>
              <w:sz w:val="21"/>
              <w:szCs w:val="22"/>
              <w:highlight w:val="none"/>
            </w:rPr>
          </w:pPr>
          <w:r>
            <w:rPr>
              <w:color w:val="auto"/>
              <w:highlight w:val="none"/>
            </w:rPr>
            <w:fldChar w:fldCharType="begin"/>
          </w:r>
          <w:r>
            <w:rPr>
              <w:color w:val="auto"/>
              <w:highlight w:val="none"/>
            </w:rPr>
            <w:instrText xml:space="preserve"> HYPERLINK \l "_Toc17536323" </w:instrText>
          </w:r>
          <w:r>
            <w:rPr>
              <w:color w:val="auto"/>
              <w:highlight w:val="none"/>
            </w:rPr>
            <w:fldChar w:fldCharType="separate"/>
          </w:r>
          <w:r>
            <w:rPr>
              <w:rStyle w:val="30"/>
              <w:rFonts w:hint="eastAsia" w:ascii="宋体" w:hAnsi="宋体" w:cs="宋体"/>
              <w:color w:val="auto"/>
              <w:highlight w:val="none"/>
            </w:rPr>
            <w:t>第一章  总    则</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_Toc17536323 \h </w:instrText>
          </w:r>
          <w:r>
            <w:rPr>
              <w:rFonts w:hint="eastAsia" w:ascii="宋体" w:hAnsi="宋体" w:cs="宋体"/>
              <w:color w:val="auto"/>
              <w:highlight w:val="none"/>
            </w:rPr>
            <w:fldChar w:fldCharType="separate"/>
          </w:r>
          <w:r>
            <w:rPr>
              <w:rFonts w:hint="eastAsia" w:ascii="宋体" w:hAnsi="宋体" w:cs="宋体"/>
              <w:color w:val="auto"/>
              <w:highlight w:val="none"/>
            </w:rPr>
            <w:t>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23C8183">
          <w:pPr>
            <w:pStyle w:val="19"/>
            <w:tabs>
              <w:tab w:val="right" w:leader="dot" w:pos="8296"/>
            </w:tabs>
            <w:rPr>
              <w:rFonts w:ascii="宋体" w:hAnsi="宋体" w:cs="宋体"/>
              <w:b w:val="0"/>
              <w:color w:val="auto"/>
              <w:sz w:val="21"/>
              <w:szCs w:val="22"/>
              <w:highlight w:val="none"/>
            </w:rPr>
          </w:pPr>
          <w:r>
            <w:rPr>
              <w:color w:val="auto"/>
              <w:highlight w:val="none"/>
            </w:rPr>
            <w:fldChar w:fldCharType="begin"/>
          </w:r>
          <w:r>
            <w:rPr>
              <w:color w:val="auto"/>
              <w:highlight w:val="none"/>
            </w:rPr>
            <w:instrText xml:space="preserve"> HYPERLINK \l "_Toc17536324" </w:instrText>
          </w:r>
          <w:r>
            <w:rPr>
              <w:color w:val="auto"/>
              <w:highlight w:val="none"/>
            </w:rPr>
            <w:fldChar w:fldCharType="separate"/>
          </w:r>
          <w:r>
            <w:rPr>
              <w:rStyle w:val="30"/>
              <w:rFonts w:hint="eastAsia" w:ascii="宋体" w:hAnsi="宋体" w:cs="宋体"/>
              <w:color w:val="auto"/>
              <w:highlight w:val="none"/>
            </w:rPr>
            <w:t>第二章  采购项目及技术要求</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_Toc17536324 \h </w:instrText>
          </w:r>
          <w:r>
            <w:rPr>
              <w:rFonts w:hint="eastAsia" w:ascii="宋体" w:hAnsi="宋体" w:cs="宋体"/>
              <w:color w:val="auto"/>
              <w:highlight w:val="none"/>
            </w:rPr>
            <w:fldChar w:fldCharType="separate"/>
          </w:r>
          <w:r>
            <w:rPr>
              <w:rFonts w:hint="eastAsia" w:ascii="宋体" w:hAnsi="宋体" w:cs="宋体"/>
              <w:color w:val="auto"/>
              <w:highlight w:val="none"/>
            </w:rPr>
            <w:t>16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6412314">
          <w:pPr>
            <w:pStyle w:val="19"/>
            <w:tabs>
              <w:tab w:val="right" w:leader="dot" w:pos="8296"/>
            </w:tabs>
            <w:rPr>
              <w:rFonts w:ascii="宋体" w:hAnsi="宋体" w:cs="宋体"/>
              <w:b w:val="0"/>
              <w:color w:val="auto"/>
              <w:sz w:val="21"/>
              <w:szCs w:val="22"/>
              <w:highlight w:val="none"/>
            </w:rPr>
          </w:pPr>
          <w:r>
            <w:rPr>
              <w:color w:val="auto"/>
              <w:highlight w:val="none"/>
            </w:rPr>
            <w:fldChar w:fldCharType="begin"/>
          </w:r>
          <w:r>
            <w:rPr>
              <w:color w:val="auto"/>
              <w:highlight w:val="none"/>
            </w:rPr>
            <w:instrText xml:space="preserve"> HYPERLINK \l "_Toc17536325" </w:instrText>
          </w:r>
          <w:r>
            <w:rPr>
              <w:color w:val="auto"/>
              <w:highlight w:val="none"/>
            </w:rPr>
            <w:fldChar w:fldCharType="separate"/>
          </w:r>
          <w:r>
            <w:rPr>
              <w:rStyle w:val="30"/>
              <w:rFonts w:hint="eastAsia" w:ascii="宋体" w:hAnsi="宋体" w:cs="宋体"/>
              <w:color w:val="auto"/>
              <w:highlight w:val="none"/>
            </w:rPr>
            <w:t>第三章  合同主要条款</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_Toc17536325 \h </w:instrText>
          </w:r>
          <w:r>
            <w:rPr>
              <w:rFonts w:hint="eastAsia" w:ascii="宋体" w:hAnsi="宋体" w:cs="宋体"/>
              <w:color w:val="auto"/>
              <w:highlight w:val="none"/>
            </w:rPr>
            <w:fldChar w:fldCharType="separate"/>
          </w:r>
          <w:r>
            <w:rPr>
              <w:rFonts w:hint="eastAsia" w:ascii="宋体" w:hAnsi="宋体" w:cs="宋体"/>
              <w:color w:val="auto"/>
              <w:highlight w:val="none"/>
            </w:rPr>
            <w:t>19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BEBA1B6">
          <w:pPr>
            <w:pStyle w:val="19"/>
            <w:tabs>
              <w:tab w:val="right" w:leader="dot" w:pos="8296"/>
            </w:tabs>
            <w:rPr>
              <w:rFonts w:ascii="宋体" w:hAnsi="宋体" w:cs="宋体"/>
              <w:b w:val="0"/>
              <w:color w:val="auto"/>
              <w:sz w:val="21"/>
              <w:szCs w:val="22"/>
              <w:highlight w:val="none"/>
            </w:rPr>
          </w:pPr>
          <w:r>
            <w:rPr>
              <w:color w:val="auto"/>
              <w:highlight w:val="none"/>
            </w:rPr>
            <w:fldChar w:fldCharType="begin"/>
          </w:r>
          <w:r>
            <w:rPr>
              <w:color w:val="auto"/>
              <w:highlight w:val="none"/>
            </w:rPr>
            <w:instrText xml:space="preserve"> HYPERLINK \l "_Toc17536326" </w:instrText>
          </w:r>
          <w:r>
            <w:rPr>
              <w:color w:val="auto"/>
              <w:highlight w:val="none"/>
            </w:rPr>
            <w:fldChar w:fldCharType="separate"/>
          </w:r>
          <w:r>
            <w:rPr>
              <w:rStyle w:val="30"/>
              <w:rFonts w:hint="eastAsia" w:ascii="宋体" w:hAnsi="宋体" w:cs="宋体"/>
              <w:color w:val="auto"/>
              <w:highlight w:val="none"/>
            </w:rPr>
            <w:t>第四章  评审细则</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_Toc17536326 \h </w:instrText>
          </w:r>
          <w:r>
            <w:rPr>
              <w:rFonts w:hint="eastAsia" w:ascii="宋体" w:hAnsi="宋体" w:cs="宋体"/>
              <w:color w:val="auto"/>
              <w:highlight w:val="none"/>
            </w:rPr>
            <w:fldChar w:fldCharType="separate"/>
          </w:r>
          <w:r>
            <w:rPr>
              <w:rFonts w:hint="eastAsia" w:ascii="宋体" w:hAnsi="宋体" w:cs="宋体"/>
              <w:color w:val="auto"/>
              <w:highlight w:val="none"/>
            </w:rPr>
            <w:t>24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9A7C617">
          <w:pPr>
            <w:pStyle w:val="19"/>
            <w:tabs>
              <w:tab w:val="right" w:leader="dot" w:pos="8296"/>
            </w:tabs>
            <w:rPr>
              <w:rFonts w:ascii="宋体" w:hAnsi="宋体" w:cs="宋体"/>
              <w:b w:val="0"/>
              <w:color w:val="auto"/>
              <w:sz w:val="21"/>
              <w:szCs w:val="22"/>
              <w:highlight w:val="none"/>
            </w:rPr>
          </w:pPr>
          <w:r>
            <w:rPr>
              <w:color w:val="auto"/>
              <w:highlight w:val="none"/>
            </w:rPr>
            <w:fldChar w:fldCharType="begin"/>
          </w:r>
          <w:r>
            <w:rPr>
              <w:color w:val="auto"/>
              <w:highlight w:val="none"/>
            </w:rPr>
            <w:instrText xml:space="preserve"> HYPERLINK \l "_Toc17536327" </w:instrText>
          </w:r>
          <w:r>
            <w:rPr>
              <w:color w:val="auto"/>
              <w:highlight w:val="none"/>
            </w:rPr>
            <w:fldChar w:fldCharType="separate"/>
          </w:r>
          <w:r>
            <w:rPr>
              <w:rStyle w:val="30"/>
              <w:rFonts w:hint="eastAsia" w:ascii="宋体" w:hAnsi="宋体" w:cs="宋体"/>
              <w:color w:val="auto"/>
              <w:highlight w:val="none"/>
            </w:rPr>
            <w:t>第五章  磋商响应文件的组成</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_Toc17536327 \h </w:instrText>
          </w:r>
          <w:r>
            <w:rPr>
              <w:rFonts w:hint="eastAsia" w:ascii="宋体" w:hAnsi="宋体" w:cs="宋体"/>
              <w:color w:val="auto"/>
              <w:highlight w:val="none"/>
            </w:rPr>
            <w:fldChar w:fldCharType="separate"/>
          </w:r>
          <w:r>
            <w:rPr>
              <w:rFonts w:hint="eastAsia" w:ascii="宋体" w:hAnsi="宋体" w:cs="宋体"/>
              <w:color w:val="auto"/>
              <w:highlight w:val="none"/>
            </w:rPr>
            <w:t>26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4674DAD">
          <w:pPr>
            <w:pStyle w:val="19"/>
            <w:tabs>
              <w:tab w:val="right" w:leader="dot" w:pos="8296"/>
            </w:tabs>
            <w:rPr>
              <w:rFonts w:ascii="宋体" w:hAnsi="宋体" w:cs="宋体"/>
              <w:b w:val="0"/>
              <w:color w:val="auto"/>
              <w:sz w:val="21"/>
              <w:szCs w:val="22"/>
              <w:highlight w:val="none"/>
            </w:rPr>
          </w:pPr>
          <w:r>
            <w:rPr>
              <w:color w:val="auto"/>
              <w:highlight w:val="none"/>
            </w:rPr>
            <w:fldChar w:fldCharType="begin"/>
          </w:r>
          <w:r>
            <w:rPr>
              <w:color w:val="auto"/>
              <w:highlight w:val="none"/>
            </w:rPr>
            <w:instrText xml:space="preserve"> HYPERLINK \l "_Toc17536328" </w:instrText>
          </w:r>
          <w:r>
            <w:rPr>
              <w:color w:val="auto"/>
              <w:highlight w:val="none"/>
            </w:rPr>
            <w:fldChar w:fldCharType="separate"/>
          </w:r>
          <w:r>
            <w:rPr>
              <w:rStyle w:val="30"/>
              <w:rFonts w:hint="eastAsia" w:ascii="宋体" w:hAnsi="宋体" w:cs="宋体"/>
              <w:color w:val="auto"/>
              <w:highlight w:val="none"/>
            </w:rPr>
            <w:t>第六章  附    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_Toc17536328 \h </w:instrText>
          </w:r>
          <w:r>
            <w:rPr>
              <w:rFonts w:hint="eastAsia" w:ascii="宋体" w:hAnsi="宋体" w:cs="宋体"/>
              <w:color w:val="auto"/>
              <w:highlight w:val="none"/>
            </w:rPr>
            <w:fldChar w:fldCharType="separate"/>
          </w:r>
          <w:r>
            <w:rPr>
              <w:rFonts w:hint="eastAsia" w:ascii="宋体" w:hAnsi="宋体" w:cs="宋体"/>
              <w:color w:val="auto"/>
              <w:highlight w:val="none"/>
            </w:rPr>
            <w:t>27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A1BC036">
          <w:pPr>
            <w:pStyle w:val="19"/>
            <w:tabs>
              <w:tab w:val="right" w:leader="dot" w:pos="8296"/>
            </w:tabs>
            <w:rPr>
              <w:rFonts w:ascii="宋体" w:hAnsi="宋体" w:cs="宋体"/>
              <w:b w:val="0"/>
              <w:color w:val="auto"/>
              <w:sz w:val="21"/>
              <w:szCs w:val="22"/>
              <w:highlight w:val="none"/>
            </w:rPr>
          </w:pPr>
          <w:r>
            <w:rPr>
              <w:color w:val="auto"/>
              <w:highlight w:val="none"/>
            </w:rPr>
            <w:fldChar w:fldCharType="begin"/>
          </w:r>
          <w:r>
            <w:rPr>
              <w:color w:val="auto"/>
              <w:highlight w:val="none"/>
            </w:rPr>
            <w:instrText xml:space="preserve"> HYPERLINK \l "_Toc17536329" </w:instrText>
          </w:r>
          <w:r>
            <w:rPr>
              <w:color w:val="auto"/>
              <w:highlight w:val="none"/>
            </w:rPr>
            <w:fldChar w:fldCharType="separate"/>
          </w:r>
          <w:r>
            <w:rPr>
              <w:color w:val="auto"/>
              <w:highlight w:val="none"/>
            </w:rPr>
            <w:fldChar w:fldCharType="end"/>
          </w:r>
        </w:p>
        <w:p w14:paraId="25A9B3B5">
          <w:pPr>
            <w:rPr>
              <w:rFonts w:ascii="宋体" w:hAnsi="宋体" w:cs="宋体"/>
              <w:color w:val="auto"/>
              <w:highlight w:val="none"/>
            </w:rPr>
          </w:pPr>
          <w:r>
            <w:rPr>
              <w:rFonts w:hint="eastAsia" w:ascii="宋体" w:hAnsi="宋体" w:cs="宋体"/>
              <w:color w:val="auto"/>
              <w:highlight w:val="none"/>
            </w:rPr>
            <w:fldChar w:fldCharType="end"/>
          </w:r>
        </w:p>
      </w:sdtContent>
    </w:sdt>
    <w:p w14:paraId="7A5FE34B">
      <w:pPr>
        <w:spacing w:line="360" w:lineRule="auto"/>
        <w:jc w:val="center"/>
        <w:rPr>
          <w:rFonts w:ascii="宋体" w:hAnsi="宋体" w:cs="宋体"/>
          <w:b/>
          <w:bCs/>
          <w:color w:val="auto"/>
          <w:sz w:val="24"/>
          <w:szCs w:val="24"/>
          <w:highlight w:val="none"/>
        </w:rPr>
      </w:pPr>
    </w:p>
    <w:p w14:paraId="4B9FAB75">
      <w:pPr>
        <w:spacing w:line="360" w:lineRule="auto"/>
        <w:jc w:val="center"/>
        <w:rPr>
          <w:rFonts w:ascii="宋体" w:hAnsi="宋体" w:cs="宋体"/>
          <w:b/>
          <w:bCs/>
          <w:color w:val="auto"/>
          <w:sz w:val="24"/>
          <w:szCs w:val="24"/>
          <w:highlight w:val="none"/>
        </w:rPr>
      </w:pPr>
    </w:p>
    <w:p w14:paraId="4781810B">
      <w:pPr>
        <w:spacing w:line="360" w:lineRule="auto"/>
        <w:jc w:val="center"/>
        <w:rPr>
          <w:rFonts w:ascii="宋体" w:hAnsi="宋体" w:cs="宋体"/>
          <w:b/>
          <w:bCs/>
          <w:color w:val="auto"/>
          <w:sz w:val="24"/>
          <w:szCs w:val="24"/>
          <w:highlight w:val="none"/>
        </w:rPr>
      </w:pPr>
    </w:p>
    <w:p w14:paraId="4E405F28">
      <w:pPr>
        <w:spacing w:line="360" w:lineRule="auto"/>
        <w:rPr>
          <w:rFonts w:ascii="宋体" w:hAnsi="宋体" w:cs="宋体"/>
          <w:b/>
          <w:bCs/>
          <w:color w:val="auto"/>
          <w:sz w:val="24"/>
          <w:szCs w:val="24"/>
          <w:highlight w:val="none"/>
        </w:rPr>
      </w:pPr>
    </w:p>
    <w:p w14:paraId="168F6B68">
      <w:pPr>
        <w:spacing w:line="360" w:lineRule="auto"/>
        <w:rPr>
          <w:rFonts w:ascii="宋体" w:hAnsi="宋体" w:cs="宋体"/>
          <w:b/>
          <w:bCs/>
          <w:color w:val="auto"/>
          <w:sz w:val="24"/>
          <w:szCs w:val="24"/>
          <w:highlight w:val="none"/>
        </w:rPr>
      </w:pPr>
    </w:p>
    <w:p w14:paraId="17184183">
      <w:pPr>
        <w:spacing w:line="360" w:lineRule="auto"/>
        <w:rPr>
          <w:rFonts w:ascii="宋体" w:hAnsi="宋体" w:cs="宋体"/>
          <w:b/>
          <w:bCs/>
          <w:color w:val="auto"/>
          <w:sz w:val="24"/>
          <w:szCs w:val="24"/>
          <w:highlight w:val="none"/>
        </w:rPr>
      </w:pPr>
    </w:p>
    <w:p w14:paraId="1895F211">
      <w:pPr>
        <w:spacing w:line="360" w:lineRule="auto"/>
        <w:rPr>
          <w:rFonts w:ascii="宋体" w:hAnsi="宋体" w:cs="宋体"/>
          <w:b/>
          <w:bCs/>
          <w:color w:val="auto"/>
          <w:sz w:val="24"/>
          <w:szCs w:val="24"/>
          <w:highlight w:val="none"/>
        </w:rPr>
      </w:pPr>
    </w:p>
    <w:p w14:paraId="4B7447D9">
      <w:pPr>
        <w:spacing w:line="360" w:lineRule="auto"/>
        <w:rPr>
          <w:rFonts w:ascii="宋体" w:hAnsi="宋体" w:cs="宋体"/>
          <w:b/>
          <w:bCs/>
          <w:color w:val="auto"/>
          <w:sz w:val="24"/>
          <w:szCs w:val="24"/>
          <w:highlight w:val="none"/>
        </w:rPr>
      </w:pPr>
    </w:p>
    <w:p w14:paraId="46F52939">
      <w:pPr>
        <w:spacing w:line="360" w:lineRule="auto"/>
        <w:rPr>
          <w:rFonts w:ascii="宋体" w:hAnsi="宋体" w:cs="宋体"/>
          <w:b/>
          <w:bCs/>
          <w:color w:val="auto"/>
          <w:sz w:val="24"/>
          <w:szCs w:val="24"/>
          <w:highlight w:val="none"/>
        </w:rPr>
      </w:pPr>
    </w:p>
    <w:p w14:paraId="463B3DEF">
      <w:pPr>
        <w:spacing w:line="360" w:lineRule="auto"/>
        <w:rPr>
          <w:rFonts w:ascii="宋体" w:hAnsi="宋体" w:cs="宋体"/>
          <w:b/>
          <w:bCs/>
          <w:color w:val="auto"/>
          <w:sz w:val="24"/>
          <w:szCs w:val="24"/>
          <w:highlight w:val="none"/>
        </w:rPr>
      </w:pPr>
    </w:p>
    <w:p w14:paraId="77F654B5">
      <w:pPr>
        <w:adjustRightInd w:val="0"/>
        <w:snapToGrid w:val="0"/>
        <w:spacing w:line="360" w:lineRule="auto"/>
        <w:jc w:val="center"/>
        <w:rPr>
          <w:rFonts w:ascii="宋体" w:hAnsi="宋体" w:cs="宋体"/>
          <w:b/>
          <w:color w:val="auto"/>
          <w:sz w:val="32"/>
          <w:szCs w:val="32"/>
          <w:highlight w:val="none"/>
        </w:rPr>
      </w:pPr>
    </w:p>
    <w:p w14:paraId="70B5FE1D">
      <w:pPr>
        <w:adjustRightInd w:val="0"/>
        <w:snapToGrid w:val="0"/>
        <w:spacing w:line="600" w:lineRule="exact"/>
        <w:jc w:val="center"/>
        <w:rPr>
          <w:rFonts w:hint="eastAsia" w:ascii="黑体" w:hAnsi="黑体" w:eastAsia="黑体" w:cs="宋体"/>
          <w:b/>
          <w:color w:val="auto"/>
          <w:sz w:val="32"/>
          <w:szCs w:val="32"/>
          <w:highlight w:val="none"/>
        </w:rPr>
      </w:pPr>
      <w:r>
        <w:rPr>
          <w:rFonts w:hint="eastAsia" w:ascii="黑体" w:hAnsi="黑体" w:eastAsia="黑体" w:cs="宋体"/>
          <w:b/>
          <w:color w:val="auto"/>
          <w:sz w:val="32"/>
          <w:szCs w:val="32"/>
          <w:highlight w:val="none"/>
        </w:rPr>
        <w:t>常州市公安局</w:t>
      </w:r>
      <w:bookmarkStart w:id="0" w:name="_Toc17536322"/>
      <w:r>
        <w:rPr>
          <w:rFonts w:hint="eastAsia" w:ascii="黑体" w:hAnsi="黑体" w:eastAsia="黑体" w:cs="宋体"/>
          <w:b/>
          <w:color w:val="auto"/>
          <w:sz w:val="32"/>
          <w:szCs w:val="32"/>
          <w:highlight w:val="none"/>
        </w:rPr>
        <w:t>2025年高速、高架配套跟踪审计服务项目</w:t>
      </w:r>
    </w:p>
    <w:p w14:paraId="167F8ABF">
      <w:pPr>
        <w:adjustRightInd w:val="0"/>
        <w:snapToGrid w:val="0"/>
        <w:spacing w:line="600" w:lineRule="exact"/>
        <w:jc w:val="center"/>
        <w:rPr>
          <w:rFonts w:hAnsi="黑体" w:eastAsia="黑体" w:cs="宋体"/>
          <w:bCs/>
          <w:color w:val="auto"/>
          <w:sz w:val="32"/>
          <w:szCs w:val="32"/>
          <w:highlight w:val="none"/>
        </w:rPr>
      </w:pPr>
      <w:r>
        <w:rPr>
          <w:rFonts w:hint="eastAsia" w:hAnsi="黑体" w:eastAsia="黑体" w:cs="宋体"/>
          <w:b/>
          <w:bCs/>
          <w:color w:val="auto"/>
          <w:sz w:val="32"/>
          <w:szCs w:val="32"/>
          <w:highlight w:val="none"/>
        </w:rPr>
        <w:t>竞争性磋商公告</w:t>
      </w:r>
      <w:bookmarkEnd w:id="0"/>
    </w:p>
    <w:p w14:paraId="35FA7BE8">
      <w:pPr>
        <w:pBdr>
          <w:top w:val="single" w:color="auto" w:sz="4" w:space="1"/>
          <w:left w:val="single" w:color="auto" w:sz="4" w:space="4"/>
          <w:bottom w:val="single" w:color="auto" w:sz="4" w:space="10"/>
          <w:right w:val="single" w:color="auto" w:sz="4" w:space="4"/>
        </w:pBd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项目概况</w:t>
      </w:r>
    </w:p>
    <w:p w14:paraId="657047CC">
      <w:pPr>
        <w:pBdr>
          <w:top w:val="single" w:color="auto" w:sz="4" w:space="1"/>
          <w:left w:val="single" w:color="auto" w:sz="4" w:space="4"/>
          <w:bottom w:val="single" w:color="auto" w:sz="4" w:space="10"/>
          <w:right w:val="single" w:color="auto" w:sz="4" w:space="4"/>
        </w:pBd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常州市公安局2025年高速、高架配套跟踪审计服务项目的潜在供应商应在常州市城投建设工程招标有限公司获取采购文件，并于</w:t>
      </w:r>
      <w:r>
        <w:rPr>
          <w:rFonts w:hint="eastAsia" w:ascii="宋体" w:hAnsi="宋体" w:cs="宋体"/>
          <w:b/>
          <w:bCs/>
          <w:color w:val="auto"/>
          <w:szCs w:val="21"/>
          <w:highlight w:val="none"/>
          <w:lang w:val="en-US" w:eastAsia="zh-CN"/>
        </w:rPr>
        <w:t>2026</w:t>
      </w:r>
      <w:r>
        <w:rPr>
          <w:rFonts w:hint="eastAsia" w:ascii="宋体" w:hAnsi="宋体" w:cs="宋体"/>
          <w:b/>
          <w:bCs/>
          <w:color w:val="auto"/>
          <w:szCs w:val="21"/>
          <w:highlight w:val="none"/>
        </w:rPr>
        <w:t>年</w:t>
      </w:r>
      <w:r>
        <w:rPr>
          <w:rFonts w:hint="eastAsia" w:ascii="宋体" w:hAnsi="宋体" w:cs="宋体"/>
          <w:b/>
          <w:bCs/>
          <w:color w:val="auto"/>
          <w:szCs w:val="21"/>
          <w:highlight w:val="none"/>
          <w:lang w:val="en-US" w:eastAsia="zh-CN"/>
        </w:rPr>
        <w:t>09</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28</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14</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30</w:t>
      </w:r>
      <w:r>
        <w:rPr>
          <w:rFonts w:hint="eastAsia" w:ascii="宋体" w:hAnsi="宋体" w:cs="宋体"/>
          <w:b/>
          <w:bCs/>
          <w:color w:val="auto"/>
          <w:szCs w:val="21"/>
          <w:highlight w:val="none"/>
        </w:rPr>
        <w:t>分（北京时间）</w:t>
      </w:r>
      <w:r>
        <w:rPr>
          <w:rFonts w:hint="eastAsia" w:ascii="宋体" w:hAnsi="宋体" w:cs="宋体"/>
          <w:color w:val="auto"/>
          <w:szCs w:val="21"/>
          <w:highlight w:val="none"/>
        </w:rPr>
        <w:t>前提交响应文件。</w:t>
      </w:r>
    </w:p>
    <w:p w14:paraId="1F7F591E">
      <w:pPr>
        <w:snapToGrid w:val="0"/>
        <w:spacing w:line="360" w:lineRule="exact"/>
        <w:ind w:firstLine="422" w:firstLineChars="200"/>
        <w:outlineLvl w:val="0"/>
        <w:rPr>
          <w:rFonts w:ascii="宋体" w:hAnsi="宋体" w:cs="宋体"/>
          <w:b/>
          <w:color w:val="auto"/>
          <w:szCs w:val="21"/>
          <w:highlight w:val="none"/>
        </w:rPr>
      </w:pPr>
      <w:r>
        <w:rPr>
          <w:rFonts w:hint="eastAsia" w:ascii="宋体" w:hAnsi="宋体" w:cs="宋体"/>
          <w:b/>
          <w:color w:val="auto"/>
          <w:szCs w:val="21"/>
          <w:highlight w:val="none"/>
        </w:rPr>
        <w:t>一、项目基本情况</w:t>
      </w:r>
    </w:p>
    <w:p w14:paraId="738A9EF9">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1.项目编号：CT-SC-2026322</w:t>
      </w:r>
    </w:p>
    <w:p w14:paraId="2801B6D0">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2.项目名称：常州市公安局2025年高速、高架配套跟踪审计服务项目</w:t>
      </w:r>
    </w:p>
    <w:p w14:paraId="64CF02E1">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3.采购方式：竞争性磋商</w:t>
      </w:r>
    </w:p>
    <w:p w14:paraId="74AE7037">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4.预算金额：人民币</w:t>
      </w:r>
      <w:r>
        <w:rPr>
          <w:rFonts w:hint="eastAsia" w:ascii="宋体" w:hAnsi="宋体" w:cs="宋体"/>
          <w:color w:val="auto"/>
          <w:szCs w:val="21"/>
          <w:highlight w:val="none"/>
          <w:lang w:val="en-US" w:eastAsia="zh-CN"/>
        </w:rPr>
        <w:t>6万</w:t>
      </w:r>
      <w:r>
        <w:rPr>
          <w:rFonts w:hint="eastAsia" w:ascii="宋体" w:hAnsi="宋体" w:cs="宋体"/>
          <w:color w:val="auto"/>
          <w:szCs w:val="21"/>
          <w:highlight w:val="none"/>
        </w:rPr>
        <w:t>元</w:t>
      </w:r>
    </w:p>
    <w:p w14:paraId="6313DF32">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5.最高限价：人民币</w:t>
      </w:r>
      <w:r>
        <w:rPr>
          <w:rFonts w:hint="eastAsia" w:ascii="宋体" w:hAnsi="宋体" w:cs="宋体"/>
          <w:color w:val="auto"/>
          <w:szCs w:val="21"/>
          <w:highlight w:val="none"/>
          <w:lang w:val="en-US" w:eastAsia="zh-CN"/>
        </w:rPr>
        <w:t>6万</w:t>
      </w:r>
      <w:r>
        <w:rPr>
          <w:rFonts w:hint="eastAsia" w:ascii="宋体" w:hAnsi="宋体" w:cs="宋体"/>
          <w:color w:val="auto"/>
          <w:szCs w:val="21"/>
          <w:highlight w:val="none"/>
        </w:rPr>
        <w:t>元</w:t>
      </w:r>
    </w:p>
    <w:p w14:paraId="0C666CB1">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6.采购需求：</w:t>
      </w:r>
      <w:r>
        <w:rPr>
          <w:rFonts w:hint="eastAsia" w:ascii="宋体" w:hAnsi="宋体" w:cs="宋体"/>
          <w:color w:val="auto"/>
          <w:szCs w:val="21"/>
          <w:highlight w:val="none"/>
          <w:lang w:val="en-US" w:eastAsia="zh-CN"/>
        </w:rPr>
        <w:t>本项目为常州市公安局2025年高速、高架配套跟踪审计服务项目，</w:t>
      </w:r>
      <w:r>
        <w:rPr>
          <w:rFonts w:hint="eastAsia" w:ascii="宋体" w:hAnsi="宋体" w:cs="宋体"/>
          <w:color w:val="auto"/>
          <w:szCs w:val="21"/>
          <w:highlight w:val="none"/>
        </w:rPr>
        <w:t>对2025年常州市高速、高架道路前端感知设备改造升级建设项目出具跟踪审计报告、结算</w:t>
      </w:r>
      <w:r>
        <w:rPr>
          <w:rFonts w:hint="eastAsia" w:ascii="宋体" w:hAnsi="宋体" w:cs="宋体"/>
          <w:color w:val="auto"/>
          <w:szCs w:val="21"/>
          <w:highlight w:val="none"/>
          <w:lang w:val="en-US" w:eastAsia="zh-CN"/>
        </w:rPr>
        <w:t>所</w:t>
      </w:r>
      <w:r>
        <w:rPr>
          <w:rFonts w:hint="eastAsia" w:ascii="宋体" w:hAnsi="宋体" w:cs="宋体"/>
          <w:color w:val="auto"/>
          <w:szCs w:val="21"/>
          <w:highlight w:val="none"/>
        </w:rPr>
        <w:t>涉及报告</w:t>
      </w:r>
      <w:r>
        <w:rPr>
          <w:rFonts w:hint="eastAsia" w:ascii="宋体" w:hAnsi="宋体" w:cs="宋体"/>
          <w:color w:val="auto"/>
          <w:szCs w:val="21"/>
          <w:highlight w:val="none"/>
          <w:lang w:val="en-US" w:eastAsia="zh-CN"/>
        </w:rPr>
        <w:t>等</w:t>
      </w:r>
      <w:r>
        <w:rPr>
          <w:rFonts w:hint="eastAsia" w:ascii="宋体" w:hAnsi="宋体" w:cs="宋体"/>
          <w:color w:val="auto"/>
          <w:szCs w:val="21"/>
          <w:highlight w:val="none"/>
        </w:rPr>
        <w:t>。</w:t>
      </w:r>
    </w:p>
    <w:p w14:paraId="03688C9A">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7.合同履行期限：2025年常州市高速、高架道路前端感知设备改造升级建设项目实施期间，直至整个项目验收合格并完成结算审计结束。</w:t>
      </w:r>
    </w:p>
    <w:p w14:paraId="5CE69ED9">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8.本项目不接受联合体。</w:t>
      </w:r>
    </w:p>
    <w:p w14:paraId="78110FC0">
      <w:pPr>
        <w:adjustRightInd w:val="0"/>
        <w:spacing w:line="360" w:lineRule="exact"/>
        <w:ind w:firstLine="424" w:firstLineChars="201"/>
        <w:outlineLvl w:val="0"/>
        <w:rPr>
          <w:rFonts w:ascii="宋体" w:hAnsi="宋体" w:cs="宋体"/>
          <w:b/>
          <w:color w:val="auto"/>
          <w:kern w:val="0"/>
          <w:szCs w:val="21"/>
          <w:highlight w:val="none"/>
        </w:rPr>
      </w:pPr>
      <w:r>
        <w:rPr>
          <w:rFonts w:hint="eastAsia" w:ascii="宋体" w:hAnsi="宋体" w:cs="宋体"/>
          <w:b/>
          <w:color w:val="auto"/>
          <w:kern w:val="0"/>
          <w:szCs w:val="21"/>
          <w:highlight w:val="none"/>
        </w:rPr>
        <w:t xml:space="preserve">二、申请人的资格要求 </w:t>
      </w:r>
    </w:p>
    <w:p w14:paraId="41962E0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1.在中华人民共和国境内注册，具有独立承担民事责任的能力； </w:t>
      </w:r>
    </w:p>
    <w:p w14:paraId="39700D4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2.具有良好的商业信誉和健全的财务会计制度； </w:t>
      </w:r>
    </w:p>
    <w:p w14:paraId="1AB9E44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3.具有履行合同所必需的设备和专业技术能力； </w:t>
      </w:r>
    </w:p>
    <w:p w14:paraId="6877A4A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4.有依法缴纳税收和社会保障资金的良好记录； </w:t>
      </w:r>
    </w:p>
    <w:p w14:paraId="50F4763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5.参加采购活动前三年内，在经营活动中没有重大违法记录； </w:t>
      </w:r>
    </w:p>
    <w:p w14:paraId="4D688DE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6.法律、行政法规规定的其他条件；</w:t>
      </w:r>
    </w:p>
    <w:p w14:paraId="3F19846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7.单位负责人为同一人或者存在直接控股、管理关系的不同供应商，不得参加同一合同项下的采购活动；</w:t>
      </w:r>
    </w:p>
    <w:p w14:paraId="66240484">
      <w:pPr>
        <w:spacing w:line="360" w:lineRule="exact"/>
        <w:ind w:firstLine="420" w:firstLineChars="200"/>
        <w:rPr>
          <w:rFonts w:hint="eastAsia" w:ascii="宋体" w:hAnsi="宋体" w:eastAsia="宋体" w:cs="宋体"/>
          <w:bCs/>
          <w:color w:val="auto"/>
          <w:szCs w:val="21"/>
          <w:highlight w:val="none"/>
          <w:lang w:eastAsia="zh-CN"/>
        </w:rPr>
      </w:pPr>
      <w:r>
        <w:rPr>
          <w:rFonts w:hint="eastAsia" w:ascii="宋体" w:hAnsi="宋体" w:cs="宋体"/>
          <w:color w:val="auto"/>
          <w:szCs w:val="21"/>
          <w:highlight w:val="none"/>
        </w:rPr>
        <w:t>8.未被“信用中国”网站（www.creditchina.gov.cn）列入失信被执行人、</w:t>
      </w:r>
      <w:r>
        <w:rPr>
          <w:rFonts w:hint="eastAsia" w:ascii="宋体" w:hAnsi="宋体" w:eastAsia="宋体" w:cs="宋体"/>
          <w:color w:val="auto"/>
          <w:szCs w:val="21"/>
          <w:highlight w:val="none"/>
        </w:rPr>
        <w:t>重大税收违法失信主体</w:t>
      </w:r>
      <w:r>
        <w:rPr>
          <w:rFonts w:hint="eastAsia" w:ascii="宋体" w:hAnsi="宋体" w:cs="宋体"/>
          <w:color w:val="auto"/>
          <w:szCs w:val="21"/>
          <w:highlight w:val="none"/>
        </w:rPr>
        <w:t>、严重失信行为记录名单</w:t>
      </w:r>
      <w:r>
        <w:rPr>
          <w:rFonts w:hint="eastAsia" w:ascii="宋体" w:hAnsi="宋体" w:cs="宋体"/>
          <w:color w:val="auto"/>
          <w:szCs w:val="21"/>
          <w:highlight w:val="none"/>
          <w:lang w:eastAsia="zh-CN"/>
        </w:rPr>
        <w:t>。</w:t>
      </w:r>
    </w:p>
    <w:p w14:paraId="08C74C35">
      <w:pPr>
        <w:spacing w:line="360" w:lineRule="exact"/>
        <w:ind w:firstLine="422" w:firstLineChars="200"/>
        <w:outlineLvl w:val="0"/>
        <w:rPr>
          <w:rFonts w:ascii="宋体" w:hAnsi="宋体" w:cs="宋体"/>
          <w:b/>
          <w:color w:val="auto"/>
          <w:szCs w:val="21"/>
          <w:highlight w:val="none"/>
        </w:rPr>
      </w:pPr>
      <w:r>
        <w:rPr>
          <w:rFonts w:hint="eastAsia" w:ascii="宋体" w:hAnsi="宋体" w:cs="宋体"/>
          <w:b/>
          <w:color w:val="auto"/>
          <w:szCs w:val="21"/>
          <w:highlight w:val="none"/>
        </w:rPr>
        <w:t>三、获取采购文件</w:t>
      </w:r>
    </w:p>
    <w:p w14:paraId="60C34C7E">
      <w:pPr>
        <w:spacing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1.时间：</w:t>
      </w:r>
      <w:r>
        <w:rPr>
          <w:rFonts w:hint="eastAsia" w:ascii="宋体" w:hAnsi="宋体" w:cs="宋体"/>
          <w:b/>
          <w:bCs/>
          <w:color w:val="auto"/>
          <w:szCs w:val="21"/>
          <w:highlight w:val="none"/>
          <w:lang w:val="en-US" w:eastAsia="zh-CN"/>
        </w:rPr>
        <w:t>2026</w:t>
      </w:r>
      <w:r>
        <w:rPr>
          <w:rFonts w:hint="eastAsia" w:ascii="宋体" w:hAnsi="宋体" w:cs="宋体"/>
          <w:b/>
          <w:bCs/>
          <w:color w:val="auto"/>
          <w:szCs w:val="21"/>
          <w:highlight w:val="none"/>
        </w:rPr>
        <w:t>年</w:t>
      </w:r>
      <w:r>
        <w:rPr>
          <w:rFonts w:hint="eastAsia" w:ascii="宋体" w:hAnsi="宋体" w:cs="宋体"/>
          <w:b/>
          <w:bCs/>
          <w:color w:val="auto"/>
          <w:szCs w:val="21"/>
          <w:highlight w:val="none"/>
          <w:lang w:val="en-US" w:eastAsia="zh-CN"/>
        </w:rPr>
        <w:t>09</w:t>
      </w:r>
      <w:r>
        <w:rPr>
          <w:rFonts w:hint="eastAsia" w:ascii="宋体" w:hAnsi="宋体" w:cs="宋体"/>
          <w:b/>
          <w:bCs/>
          <w:color w:val="auto"/>
          <w:kern w:val="0"/>
          <w:szCs w:val="21"/>
          <w:highlight w:val="none"/>
        </w:rPr>
        <w:t>月</w:t>
      </w:r>
      <w:r>
        <w:rPr>
          <w:rFonts w:hint="eastAsia" w:ascii="宋体" w:hAnsi="宋体" w:cs="宋体"/>
          <w:b/>
          <w:bCs/>
          <w:color w:val="auto"/>
          <w:kern w:val="0"/>
          <w:szCs w:val="21"/>
          <w:highlight w:val="none"/>
          <w:lang w:val="en-US" w:eastAsia="zh-CN"/>
        </w:rPr>
        <w:t>14</w:t>
      </w:r>
      <w:r>
        <w:rPr>
          <w:rFonts w:hint="eastAsia" w:ascii="宋体" w:hAnsi="宋体" w:cs="宋体"/>
          <w:b/>
          <w:bCs/>
          <w:color w:val="auto"/>
          <w:kern w:val="0"/>
          <w:szCs w:val="21"/>
          <w:highlight w:val="none"/>
        </w:rPr>
        <w:t>日至</w:t>
      </w:r>
      <w:r>
        <w:rPr>
          <w:rFonts w:hint="eastAsia" w:ascii="宋体" w:hAnsi="宋体" w:cs="宋体"/>
          <w:b/>
          <w:bCs/>
          <w:color w:val="auto"/>
          <w:kern w:val="0"/>
          <w:szCs w:val="21"/>
          <w:highlight w:val="none"/>
          <w:lang w:val="en-US" w:eastAsia="zh-CN"/>
        </w:rPr>
        <w:t>09</w:t>
      </w:r>
      <w:r>
        <w:rPr>
          <w:rFonts w:hint="eastAsia" w:ascii="宋体" w:hAnsi="宋体" w:cs="宋体"/>
          <w:b/>
          <w:bCs/>
          <w:color w:val="auto"/>
          <w:kern w:val="0"/>
          <w:szCs w:val="21"/>
          <w:highlight w:val="none"/>
        </w:rPr>
        <w:t>月</w:t>
      </w:r>
      <w:r>
        <w:rPr>
          <w:rFonts w:hint="eastAsia" w:ascii="宋体" w:hAnsi="宋体" w:cs="宋体"/>
          <w:b/>
          <w:bCs/>
          <w:color w:val="auto"/>
          <w:kern w:val="0"/>
          <w:szCs w:val="21"/>
          <w:highlight w:val="none"/>
          <w:lang w:val="en-US" w:eastAsia="zh-CN"/>
        </w:rPr>
        <w:t>20</w:t>
      </w:r>
      <w:r>
        <w:rPr>
          <w:rFonts w:hint="eastAsia" w:ascii="宋体" w:hAnsi="宋体" w:cs="宋体"/>
          <w:b/>
          <w:bCs/>
          <w:color w:val="auto"/>
          <w:kern w:val="0"/>
          <w:szCs w:val="21"/>
          <w:highlight w:val="none"/>
        </w:rPr>
        <w:t>日，</w:t>
      </w:r>
      <w:r>
        <w:rPr>
          <w:rFonts w:hint="eastAsia" w:ascii="宋体" w:hAnsi="宋体" w:cs="宋体"/>
          <w:b/>
          <w:bCs/>
          <w:color w:val="auto"/>
          <w:szCs w:val="21"/>
          <w:highlight w:val="none"/>
        </w:rPr>
        <w:t>每天上午8:30至11:30，下午1:30至5:30（北京时间，法定节假日除外）</w:t>
      </w:r>
    </w:p>
    <w:p w14:paraId="3F5A634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2.地点：</w:t>
      </w:r>
      <w:r>
        <w:rPr>
          <w:rFonts w:hint="eastAsia" w:ascii="宋体" w:hAnsi="宋体" w:cs="宋体"/>
          <w:color w:val="auto"/>
          <w:kern w:val="0"/>
          <w:szCs w:val="21"/>
          <w:highlight w:val="none"/>
        </w:rPr>
        <w:t>常州市城投建设工程招标有限公司（常州市新北区通江中路396号中创大厦4楼）</w:t>
      </w:r>
      <w:r>
        <w:rPr>
          <w:rFonts w:hint="eastAsia" w:ascii="宋体" w:hAnsi="宋体" w:cs="宋体"/>
          <w:color w:val="auto"/>
          <w:szCs w:val="21"/>
          <w:highlight w:val="none"/>
        </w:rPr>
        <w:t xml:space="preserve"> </w:t>
      </w:r>
    </w:p>
    <w:p w14:paraId="09A05F8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3.方式：</w:t>
      </w:r>
      <w:r>
        <w:rPr>
          <w:rFonts w:hint="eastAsia" w:ascii="宋体" w:hAnsi="宋体" w:eastAsia="宋体" w:cs="宋体"/>
          <w:b w:val="0"/>
          <w:bCs/>
          <w:color w:val="auto"/>
          <w:sz w:val="21"/>
          <w:szCs w:val="21"/>
          <w:highlight w:val="none"/>
        </w:rPr>
        <w:t>直接下载，链接如下：</w:t>
      </w:r>
    </w:p>
    <w:p w14:paraId="09AFEE81">
      <w:pPr>
        <w:spacing w:line="360" w:lineRule="exact"/>
        <w:ind w:firstLine="422" w:firstLineChars="200"/>
        <w:outlineLvl w:val="0"/>
        <w:rPr>
          <w:rFonts w:ascii="宋体" w:hAnsi="宋体" w:cs="宋体"/>
          <w:b/>
          <w:color w:val="auto"/>
          <w:szCs w:val="21"/>
          <w:highlight w:val="none"/>
        </w:rPr>
      </w:pPr>
      <w:r>
        <w:rPr>
          <w:rFonts w:hint="eastAsia" w:ascii="宋体" w:hAnsi="宋体" w:cs="宋体"/>
          <w:b/>
          <w:color w:val="auto"/>
          <w:szCs w:val="21"/>
          <w:highlight w:val="none"/>
        </w:rPr>
        <w:t>四、响应文件提交</w:t>
      </w:r>
    </w:p>
    <w:p w14:paraId="3D5D7E3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b/>
          <w:bCs/>
          <w:color w:val="auto"/>
          <w:szCs w:val="21"/>
          <w:highlight w:val="none"/>
          <w:lang w:val="en-US" w:eastAsia="zh-CN"/>
        </w:rPr>
        <w:t>2026</w:t>
      </w:r>
      <w:r>
        <w:rPr>
          <w:rFonts w:hint="eastAsia" w:ascii="宋体" w:hAnsi="宋体" w:cs="宋体"/>
          <w:b/>
          <w:bCs/>
          <w:color w:val="auto"/>
          <w:szCs w:val="21"/>
          <w:highlight w:val="none"/>
        </w:rPr>
        <w:t>年</w:t>
      </w:r>
      <w:r>
        <w:rPr>
          <w:rFonts w:hint="eastAsia" w:ascii="宋体" w:hAnsi="宋体" w:cs="宋体"/>
          <w:b/>
          <w:bCs/>
          <w:color w:val="auto"/>
          <w:szCs w:val="21"/>
          <w:highlight w:val="none"/>
          <w:lang w:val="en-US" w:eastAsia="zh-CN"/>
        </w:rPr>
        <w:t>09</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28</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14</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30</w:t>
      </w:r>
      <w:r>
        <w:rPr>
          <w:rFonts w:hint="eastAsia" w:ascii="宋体" w:hAnsi="宋体" w:cs="宋体"/>
          <w:b/>
          <w:bCs/>
          <w:color w:val="auto"/>
          <w:szCs w:val="21"/>
          <w:highlight w:val="none"/>
        </w:rPr>
        <w:t>分（北京时间）</w:t>
      </w:r>
    </w:p>
    <w:p w14:paraId="46BEE189">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地点：常州市城投建设工程招标有限公司（常州市新北区通江中路396号中创大厦4楼）</w:t>
      </w:r>
    </w:p>
    <w:p w14:paraId="23DF2667">
      <w:pPr>
        <w:spacing w:line="360" w:lineRule="exact"/>
        <w:ind w:firstLine="422" w:firstLineChars="200"/>
        <w:outlineLvl w:val="0"/>
        <w:rPr>
          <w:rFonts w:ascii="宋体" w:hAnsi="宋体" w:cs="宋体"/>
          <w:b/>
          <w:color w:val="auto"/>
          <w:szCs w:val="21"/>
          <w:highlight w:val="none"/>
        </w:rPr>
      </w:pPr>
      <w:r>
        <w:rPr>
          <w:rFonts w:hint="eastAsia" w:ascii="宋体" w:hAnsi="宋体" w:cs="宋体"/>
          <w:b/>
          <w:color w:val="auto"/>
          <w:szCs w:val="21"/>
          <w:highlight w:val="none"/>
        </w:rPr>
        <w:t>五、开启</w:t>
      </w:r>
    </w:p>
    <w:p w14:paraId="42D10AE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b/>
          <w:bCs/>
          <w:color w:val="auto"/>
          <w:szCs w:val="21"/>
          <w:highlight w:val="none"/>
          <w:lang w:val="en-US" w:eastAsia="zh-CN"/>
        </w:rPr>
        <w:t>2026</w:t>
      </w:r>
      <w:r>
        <w:rPr>
          <w:rFonts w:hint="eastAsia" w:ascii="宋体" w:hAnsi="宋体" w:cs="宋体"/>
          <w:b/>
          <w:bCs/>
          <w:color w:val="auto"/>
          <w:szCs w:val="21"/>
          <w:highlight w:val="none"/>
        </w:rPr>
        <w:t>年</w:t>
      </w:r>
      <w:r>
        <w:rPr>
          <w:rFonts w:hint="eastAsia" w:ascii="宋体" w:hAnsi="宋体" w:cs="宋体"/>
          <w:b/>
          <w:bCs/>
          <w:color w:val="auto"/>
          <w:szCs w:val="21"/>
          <w:highlight w:val="none"/>
          <w:lang w:val="en-US" w:eastAsia="zh-CN"/>
        </w:rPr>
        <w:t>09</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28</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14</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30</w:t>
      </w:r>
      <w:r>
        <w:rPr>
          <w:rFonts w:hint="eastAsia" w:ascii="宋体" w:hAnsi="宋体" w:cs="宋体"/>
          <w:b/>
          <w:bCs/>
          <w:color w:val="auto"/>
          <w:szCs w:val="21"/>
          <w:highlight w:val="none"/>
        </w:rPr>
        <w:t>分（北京时间）</w:t>
      </w:r>
    </w:p>
    <w:p w14:paraId="689BC5F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地点：常州市城投建设工程招标有限公司（常州市新北区通江中路396号中创大厦4楼）</w:t>
      </w:r>
    </w:p>
    <w:p w14:paraId="3B0749BC">
      <w:pPr>
        <w:spacing w:line="360" w:lineRule="exact"/>
        <w:ind w:firstLine="422" w:firstLineChars="200"/>
        <w:outlineLvl w:val="0"/>
        <w:rPr>
          <w:rFonts w:ascii="宋体" w:hAnsi="宋体" w:cs="宋体"/>
          <w:b/>
          <w:color w:val="auto"/>
          <w:szCs w:val="21"/>
          <w:highlight w:val="none"/>
        </w:rPr>
      </w:pPr>
      <w:r>
        <w:rPr>
          <w:rFonts w:hint="eastAsia" w:ascii="宋体" w:hAnsi="宋体" w:cs="宋体"/>
          <w:b/>
          <w:color w:val="auto"/>
          <w:szCs w:val="21"/>
          <w:highlight w:val="none"/>
        </w:rPr>
        <w:t>六、公告期限</w:t>
      </w:r>
    </w:p>
    <w:p w14:paraId="21A48E6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自本公告发布之日起3个工作日。</w:t>
      </w:r>
    </w:p>
    <w:p w14:paraId="40F909B2">
      <w:pPr>
        <w:spacing w:line="360" w:lineRule="exact"/>
        <w:ind w:firstLine="422" w:firstLineChars="200"/>
        <w:outlineLvl w:val="0"/>
        <w:rPr>
          <w:rFonts w:ascii="宋体" w:hAnsi="宋体" w:cs="宋体"/>
          <w:b/>
          <w:color w:val="auto"/>
          <w:szCs w:val="21"/>
          <w:highlight w:val="none"/>
        </w:rPr>
      </w:pPr>
      <w:r>
        <w:rPr>
          <w:rFonts w:hint="eastAsia" w:ascii="宋体" w:hAnsi="宋体" w:cs="宋体"/>
          <w:b/>
          <w:color w:val="auto"/>
          <w:szCs w:val="21"/>
          <w:highlight w:val="none"/>
        </w:rPr>
        <w:t>七、其他补充事宜</w:t>
      </w:r>
    </w:p>
    <w:p w14:paraId="2CF5D58C">
      <w:pPr>
        <w:spacing w:line="360" w:lineRule="exact"/>
        <w:ind w:firstLine="422" w:firstLineChars="200"/>
        <w:outlineLvl w:val="1"/>
        <w:rPr>
          <w:rFonts w:ascii="宋体" w:hAnsi="宋体" w:cs="宋体"/>
          <w:b/>
          <w:color w:val="auto"/>
          <w:szCs w:val="21"/>
          <w:highlight w:val="none"/>
        </w:rPr>
      </w:pPr>
      <w:r>
        <w:rPr>
          <w:rFonts w:hint="eastAsia" w:ascii="宋体" w:hAnsi="宋体" w:cs="宋体"/>
          <w:b/>
          <w:color w:val="auto"/>
          <w:szCs w:val="21"/>
          <w:highlight w:val="none"/>
        </w:rPr>
        <w:t>1.现场踏勘及标前答疑</w:t>
      </w:r>
    </w:p>
    <w:p w14:paraId="64D786C8">
      <w:pPr>
        <w:spacing w:line="36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（1）供应商自行踏勘现场。</w:t>
      </w:r>
    </w:p>
    <w:p w14:paraId="3B5A9CD2">
      <w:pPr>
        <w:spacing w:line="360" w:lineRule="exact"/>
        <w:ind w:firstLine="420" w:firstLineChars="200"/>
        <w:rPr>
          <w:rFonts w:ascii="宋体" w:hAnsi="宋体" w:cs="宋体"/>
          <w:color w:val="auto"/>
          <w:szCs w:val="21"/>
          <w:highlight w:val="none"/>
        </w:rPr>
      </w:pPr>
      <w:r>
        <w:rPr>
          <w:rFonts w:hint="eastAsia" w:ascii="宋体" w:hAnsi="宋体" w:cs="宋体"/>
          <w:bCs/>
          <w:color w:val="auto"/>
          <w:szCs w:val="21"/>
          <w:highlight w:val="none"/>
        </w:rPr>
        <w:t>（2）</w:t>
      </w:r>
      <w:r>
        <w:rPr>
          <w:rFonts w:hint="eastAsia" w:ascii="宋体" w:hAnsi="宋体" w:cs="宋体"/>
          <w:color w:val="auto"/>
          <w:szCs w:val="21"/>
          <w:highlight w:val="none"/>
        </w:rPr>
        <w:t>标前答疑</w:t>
      </w:r>
    </w:p>
    <w:p w14:paraId="1E3EE8E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供应商对竞争性磋商文件如有疑问，请将疑问于</w:t>
      </w:r>
      <w:r>
        <w:rPr>
          <w:rFonts w:hint="eastAsia" w:ascii="宋体" w:hAnsi="宋体" w:cs="宋体"/>
          <w:b/>
          <w:bCs/>
          <w:color w:val="auto"/>
          <w:szCs w:val="21"/>
          <w:highlight w:val="none"/>
          <w:lang w:val="en-US" w:eastAsia="zh-CN"/>
        </w:rPr>
        <w:t>2026</w:t>
      </w:r>
      <w:r>
        <w:rPr>
          <w:rFonts w:hint="eastAsia" w:ascii="宋体" w:hAnsi="宋体" w:cs="宋体"/>
          <w:b/>
          <w:color w:val="auto"/>
          <w:szCs w:val="21"/>
          <w:highlight w:val="none"/>
        </w:rPr>
        <w:t>年</w:t>
      </w:r>
      <w:r>
        <w:rPr>
          <w:rFonts w:hint="eastAsia" w:ascii="宋体" w:hAnsi="宋体" w:cs="宋体"/>
          <w:b/>
          <w:color w:val="auto"/>
          <w:szCs w:val="21"/>
          <w:highlight w:val="none"/>
          <w:lang w:val="en-US" w:eastAsia="zh-CN"/>
        </w:rPr>
        <w:t>09</w:t>
      </w:r>
      <w:r>
        <w:rPr>
          <w:rFonts w:hint="eastAsia" w:ascii="宋体" w:hAnsi="宋体" w:cs="宋体"/>
          <w:b/>
          <w:bCs/>
          <w:color w:val="auto"/>
          <w:kern w:val="0"/>
          <w:szCs w:val="21"/>
          <w:highlight w:val="none"/>
        </w:rPr>
        <w:t>月</w:t>
      </w:r>
      <w:r>
        <w:rPr>
          <w:rFonts w:hint="eastAsia" w:ascii="宋体" w:hAnsi="宋体" w:cs="宋体"/>
          <w:b/>
          <w:bCs/>
          <w:color w:val="auto"/>
          <w:kern w:val="0"/>
          <w:szCs w:val="21"/>
          <w:highlight w:val="none"/>
          <w:lang w:val="en-US" w:eastAsia="zh-CN"/>
        </w:rPr>
        <w:t>21</w:t>
      </w:r>
      <w:r>
        <w:rPr>
          <w:rFonts w:hint="eastAsia" w:ascii="宋体" w:hAnsi="宋体" w:cs="宋体"/>
          <w:b/>
          <w:bCs/>
          <w:color w:val="auto"/>
          <w:kern w:val="0"/>
          <w:szCs w:val="21"/>
          <w:highlight w:val="none"/>
        </w:rPr>
        <w:t>日11</w:t>
      </w:r>
      <w:r>
        <w:rPr>
          <w:rFonts w:hint="eastAsia" w:ascii="宋体" w:hAnsi="宋体" w:cs="宋体"/>
          <w:b/>
          <w:color w:val="auto"/>
          <w:szCs w:val="21"/>
          <w:highlight w:val="none"/>
        </w:rPr>
        <w:t>点00分（北京时间）</w:t>
      </w:r>
      <w:r>
        <w:rPr>
          <w:rFonts w:hint="eastAsia" w:ascii="宋体" w:hAnsi="宋体" w:cs="宋体"/>
          <w:color w:val="auto"/>
          <w:szCs w:val="21"/>
          <w:highlight w:val="none"/>
        </w:rPr>
        <w:t>前以书面形式提交或传真至常州市城投建设工程招标有限公司。传真：0519-81580105，邮箱：czctzb@163.com</w:t>
      </w:r>
    </w:p>
    <w:p w14:paraId="7FC85102">
      <w:pPr>
        <w:spacing w:line="360" w:lineRule="exact"/>
        <w:ind w:firstLine="422" w:firstLineChars="200"/>
        <w:outlineLvl w:val="1"/>
        <w:rPr>
          <w:rFonts w:ascii="宋体" w:hAnsi="宋体" w:cs="宋体"/>
          <w:b/>
          <w:color w:val="auto"/>
          <w:szCs w:val="21"/>
          <w:highlight w:val="none"/>
        </w:rPr>
      </w:pPr>
      <w:r>
        <w:rPr>
          <w:rFonts w:hint="eastAsia" w:ascii="宋体" w:hAnsi="宋体" w:cs="宋体"/>
          <w:b/>
          <w:color w:val="auto"/>
          <w:szCs w:val="21"/>
          <w:highlight w:val="none"/>
        </w:rPr>
        <w:t>2.磋商保证金</w:t>
      </w:r>
    </w:p>
    <w:p w14:paraId="42D8B908">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（1）磋商保证金数额：</w:t>
      </w:r>
      <w:r>
        <w:rPr>
          <w:rFonts w:hint="eastAsia" w:ascii="宋体" w:hAnsi="宋体" w:cs="宋体"/>
          <w:b/>
          <w:color w:val="auto"/>
          <w:szCs w:val="21"/>
          <w:highlight w:val="none"/>
        </w:rPr>
        <w:t>人民币</w:t>
      </w:r>
      <w:r>
        <w:rPr>
          <w:rFonts w:hint="eastAsia" w:ascii="宋体" w:hAnsi="宋体" w:cs="宋体"/>
          <w:b/>
          <w:color w:val="auto"/>
          <w:szCs w:val="21"/>
          <w:highlight w:val="none"/>
          <w:lang w:val="en-US" w:eastAsia="zh-CN"/>
        </w:rPr>
        <w:t>壹仟贰佰</w:t>
      </w:r>
      <w:r>
        <w:rPr>
          <w:rFonts w:hint="eastAsia" w:ascii="宋体" w:hAnsi="宋体" w:cs="宋体"/>
          <w:b/>
          <w:color w:val="auto"/>
          <w:szCs w:val="21"/>
          <w:highlight w:val="none"/>
        </w:rPr>
        <w:t>元整</w:t>
      </w:r>
    </w:p>
    <w:p w14:paraId="61685F9C">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（2）磋商保证金专用账户</w:t>
      </w:r>
    </w:p>
    <w:p w14:paraId="24B0E778">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收款单位：常州市城投建设工程招标有限公司</w:t>
      </w:r>
    </w:p>
    <w:p w14:paraId="31ACAC47">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开户银行：中国民生银行新北支行</w:t>
      </w:r>
    </w:p>
    <w:p w14:paraId="6208FB78">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银行账号：9902001857177164</w:t>
      </w:r>
    </w:p>
    <w:p w14:paraId="0F3F32C3">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（3）磋商保证金</w:t>
      </w:r>
      <w:r>
        <w:rPr>
          <w:rFonts w:hint="eastAsia" w:ascii="宋体" w:hAnsi="宋体" w:cs="宋体"/>
          <w:b/>
          <w:color w:val="auto"/>
          <w:szCs w:val="21"/>
          <w:highlight w:val="none"/>
        </w:rPr>
        <w:t>到账截止时间</w:t>
      </w:r>
      <w:r>
        <w:rPr>
          <w:rFonts w:hint="eastAsia" w:ascii="宋体" w:hAnsi="宋体" w:cs="宋体"/>
          <w:color w:val="auto"/>
          <w:szCs w:val="21"/>
          <w:highlight w:val="none"/>
        </w:rPr>
        <w:t>：</w:t>
      </w:r>
      <w:r>
        <w:rPr>
          <w:rFonts w:hint="eastAsia" w:ascii="宋体" w:hAnsi="宋体" w:cs="宋体"/>
          <w:b/>
          <w:bCs/>
          <w:color w:val="auto"/>
          <w:szCs w:val="21"/>
          <w:highlight w:val="none"/>
          <w:lang w:val="en-US" w:eastAsia="zh-CN"/>
        </w:rPr>
        <w:t>2026</w:t>
      </w:r>
      <w:r>
        <w:rPr>
          <w:rFonts w:hint="eastAsia" w:ascii="宋体" w:hAnsi="宋体" w:cs="宋体"/>
          <w:b/>
          <w:color w:val="auto"/>
          <w:szCs w:val="21"/>
          <w:highlight w:val="none"/>
        </w:rPr>
        <w:t>年</w:t>
      </w:r>
      <w:r>
        <w:rPr>
          <w:rFonts w:hint="eastAsia" w:ascii="宋体" w:hAnsi="宋体" w:cs="宋体"/>
          <w:b/>
          <w:color w:val="auto"/>
          <w:szCs w:val="21"/>
          <w:highlight w:val="none"/>
          <w:lang w:val="en-US" w:eastAsia="zh-CN"/>
        </w:rPr>
        <w:t>09</w:t>
      </w:r>
      <w:r>
        <w:rPr>
          <w:rFonts w:hint="eastAsia" w:ascii="宋体" w:hAnsi="宋体" w:cs="宋体"/>
          <w:b/>
          <w:color w:val="auto"/>
          <w:szCs w:val="21"/>
          <w:highlight w:val="none"/>
        </w:rPr>
        <w:t>月</w:t>
      </w:r>
      <w:r>
        <w:rPr>
          <w:rFonts w:hint="eastAsia" w:ascii="宋体" w:hAnsi="宋体" w:cs="宋体"/>
          <w:b/>
          <w:color w:val="auto"/>
          <w:szCs w:val="21"/>
          <w:highlight w:val="none"/>
          <w:lang w:val="en-US" w:eastAsia="zh-CN"/>
        </w:rPr>
        <w:t>24</w:t>
      </w:r>
      <w:r>
        <w:rPr>
          <w:rFonts w:hint="eastAsia" w:ascii="宋体" w:hAnsi="宋体" w:cs="宋体"/>
          <w:b/>
          <w:color w:val="auto"/>
          <w:szCs w:val="21"/>
          <w:highlight w:val="none"/>
        </w:rPr>
        <w:t>日</w:t>
      </w:r>
    </w:p>
    <w:p w14:paraId="068B27ED">
      <w:pPr>
        <w:spacing w:line="36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（4）磋商保证金交纳方式：银行电汇或</w:t>
      </w:r>
      <w:bookmarkStart w:id="9" w:name="_GoBack"/>
      <w:bookmarkEnd w:id="9"/>
      <w:r>
        <w:rPr>
          <w:rFonts w:hint="eastAsia" w:ascii="宋体" w:hAnsi="宋体" w:cs="宋体"/>
          <w:color w:val="auto"/>
          <w:szCs w:val="21"/>
          <w:highlight w:val="none"/>
        </w:rPr>
        <w:t>转账</w:t>
      </w:r>
      <w:r>
        <w:rPr>
          <w:rFonts w:hint="eastAsia" w:ascii="宋体" w:hAnsi="宋体" w:cs="宋体"/>
          <w:b/>
          <w:bCs/>
          <w:color w:val="auto"/>
          <w:szCs w:val="21"/>
          <w:highlight w:val="none"/>
        </w:rPr>
        <w:t>（备注项目编号）</w:t>
      </w:r>
    </w:p>
    <w:p w14:paraId="238774B5">
      <w:pPr>
        <w:spacing w:line="360" w:lineRule="exact"/>
        <w:ind w:firstLine="420" w:firstLineChars="200"/>
        <w:rPr>
          <w:rFonts w:ascii="宋体" w:hAnsi="宋体" w:cs="宋体"/>
          <w:b/>
          <w:color w:val="auto"/>
          <w:szCs w:val="21"/>
          <w:highlight w:val="none"/>
        </w:rPr>
      </w:pPr>
      <w:r>
        <w:rPr>
          <w:rFonts w:hint="eastAsia" w:ascii="宋体" w:hAnsi="宋体" w:cs="宋体"/>
          <w:bCs/>
          <w:color w:val="auto"/>
          <w:szCs w:val="21"/>
          <w:highlight w:val="none"/>
        </w:rPr>
        <w:t>（5）供应商必须自行将磋商保证金从公司账户按规定方式和时间缴至常州市城投建设工程招标有限公司</w:t>
      </w:r>
      <w:r>
        <w:rPr>
          <w:rFonts w:hint="eastAsia" w:ascii="宋体" w:hAnsi="宋体" w:cs="宋体"/>
          <w:b/>
          <w:color w:val="auto"/>
          <w:szCs w:val="21"/>
          <w:highlight w:val="none"/>
        </w:rPr>
        <w:t>磋商保证金专用账户</w:t>
      </w:r>
      <w:r>
        <w:rPr>
          <w:rFonts w:hint="eastAsia" w:ascii="宋体" w:hAnsi="宋体" w:cs="宋体"/>
          <w:bCs/>
          <w:color w:val="auto"/>
          <w:szCs w:val="21"/>
          <w:highlight w:val="none"/>
        </w:rPr>
        <w:t>并到账，拒绝以其它方式缴纳，禁止第三方代缴保证金，否则将被视为无效响应，其磋商磋商响应文件将被拒绝。</w:t>
      </w:r>
    </w:p>
    <w:p w14:paraId="00E14444">
      <w:pPr>
        <w:spacing w:line="360" w:lineRule="exact"/>
        <w:ind w:firstLine="422" w:firstLineChars="200"/>
        <w:outlineLvl w:val="1"/>
        <w:rPr>
          <w:rFonts w:ascii="宋体" w:hAnsi="宋体" w:cs="宋体"/>
          <w:b/>
          <w:bCs/>
          <w:color w:val="auto"/>
          <w:szCs w:val="21"/>
          <w:highlight w:val="none"/>
        </w:rPr>
      </w:pPr>
      <w:r>
        <w:rPr>
          <w:rFonts w:hint="eastAsia" w:ascii="宋体" w:hAnsi="宋体" w:cs="宋体"/>
          <w:b/>
          <w:color w:val="auto"/>
          <w:szCs w:val="21"/>
          <w:highlight w:val="none"/>
          <w:lang w:val="en-US" w:eastAsia="zh-CN"/>
        </w:rPr>
        <w:t>3</w:t>
      </w:r>
      <w:r>
        <w:rPr>
          <w:rFonts w:hint="eastAsia" w:ascii="宋体" w:hAnsi="宋体" w:cs="宋体"/>
          <w:b/>
          <w:color w:val="auto"/>
          <w:kern w:val="0"/>
          <w:szCs w:val="21"/>
          <w:highlight w:val="none"/>
        </w:rPr>
        <w:t>.</w:t>
      </w:r>
      <w:r>
        <w:rPr>
          <w:rFonts w:hint="eastAsia" w:ascii="宋体" w:hAnsi="宋体" w:cs="宋体"/>
          <w:b/>
          <w:bCs/>
          <w:color w:val="auto"/>
          <w:szCs w:val="21"/>
          <w:highlight w:val="none"/>
        </w:rPr>
        <w:t>竞争性磋商文件售后一概不退。供应商提交的磋商响应文件概不退还。一经领购，供应商不得更改单位名称。</w:t>
      </w:r>
    </w:p>
    <w:p w14:paraId="61BAC1B5">
      <w:pPr>
        <w:spacing w:line="360" w:lineRule="exact"/>
        <w:ind w:firstLine="422" w:firstLineChars="200"/>
        <w:outlineLvl w:val="0"/>
        <w:rPr>
          <w:rFonts w:ascii="宋体" w:hAnsi="宋体" w:cs="宋体"/>
          <w:b/>
          <w:color w:val="auto"/>
          <w:szCs w:val="21"/>
          <w:highlight w:val="none"/>
        </w:rPr>
      </w:pPr>
      <w:r>
        <w:rPr>
          <w:rFonts w:hint="eastAsia" w:ascii="宋体" w:hAnsi="宋体" w:cs="宋体"/>
          <w:b/>
          <w:color w:val="auto"/>
          <w:szCs w:val="21"/>
          <w:highlight w:val="none"/>
        </w:rPr>
        <w:t>八、凡对本次采购提出询问，请按以下方式联系。</w:t>
      </w:r>
    </w:p>
    <w:p w14:paraId="54A61638">
      <w:pPr>
        <w:spacing w:line="360" w:lineRule="exact"/>
        <w:ind w:firstLine="420" w:firstLineChars="200"/>
        <w:outlineLvl w:val="1"/>
        <w:rPr>
          <w:rFonts w:ascii="宋体" w:hAnsi="宋体" w:cs="宋体"/>
          <w:color w:val="auto"/>
          <w:szCs w:val="21"/>
          <w:highlight w:val="none"/>
        </w:rPr>
      </w:pPr>
      <w:r>
        <w:rPr>
          <w:rFonts w:hint="eastAsia" w:ascii="宋体" w:hAnsi="宋体" w:cs="宋体"/>
          <w:color w:val="auto"/>
          <w:szCs w:val="21"/>
          <w:highlight w:val="none"/>
        </w:rPr>
        <w:t>1.采购人信息</w:t>
      </w:r>
    </w:p>
    <w:p w14:paraId="16AA0C7F">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名    称：常州市公安局　　　　　　　　　　　　</w:t>
      </w:r>
    </w:p>
    <w:p w14:paraId="1EF12397">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    址：常州市新北区龙锦路1588号</w:t>
      </w:r>
    </w:p>
    <w:p w14:paraId="5987483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联系方式：邵俊 0519-81993183</w:t>
      </w:r>
    </w:p>
    <w:p w14:paraId="4CDFCAF3">
      <w:pPr>
        <w:spacing w:line="360" w:lineRule="exact"/>
        <w:ind w:firstLine="420" w:firstLineChars="200"/>
        <w:outlineLvl w:val="1"/>
        <w:rPr>
          <w:rFonts w:ascii="宋体" w:hAnsi="宋体" w:cs="宋体"/>
          <w:color w:val="auto"/>
          <w:szCs w:val="21"/>
          <w:highlight w:val="none"/>
        </w:rPr>
      </w:pPr>
      <w:r>
        <w:rPr>
          <w:rFonts w:hint="eastAsia" w:ascii="宋体" w:hAnsi="宋体" w:cs="宋体"/>
          <w:color w:val="auto"/>
          <w:szCs w:val="21"/>
          <w:highlight w:val="none"/>
        </w:rPr>
        <w:t>2.采购代理机构信息</w:t>
      </w:r>
    </w:p>
    <w:p w14:paraId="4079A99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名    称：常州市城投建设工程招标有限公司</w:t>
      </w:r>
    </w:p>
    <w:p w14:paraId="166AD8A0">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地　　址：</w:t>
      </w:r>
      <w:r>
        <w:rPr>
          <w:rFonts w:hint="eastAsia" w:ascii="宋体" w:hAnsi="宋体" w:cs="宋体"/>
          <w:color w:val="auto"/>
          <w:kern w:val="0"/>
          <w:szCs w:val="21"/>
          <w:highlight w:val="none"/>
        </w:rPr>
        <w:t>常州市新北区通江中路396号中创大厦4楼</w:t>
      </w:r>
    </w:p>
    <w:p w14:paraId="1C052767">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联系方式：0519-81580101</w:t>
      </w:r>
    </w:p>
    <w:p w14:paraId="0CC55384">
      <w:pPr>
        <w:spacing w:line="360" w:lineRule="exact"/>
        <w:ind w:firstLine="420" w:firstLineChars="200"/>
        <w:outlineLvl w:val="1"/>
        <w:rPr>
          <w:rFonts w:ascii="宋体" w:hAnsi="宋体" w:cs="宋体"/>
          <w:color w:val="auto"/>
          <w:kern w:val="0"/>
          <w:szCs w:val="21"/>
          <w:highlight w:val="none"/>
        </w:rPr>
      </w:pPr>
      <w:r>
        <w:rPr>
          <w:rFonts w:hint="eastAsia" w:ascii="宋体" w:hAnsi="宋体" w:cs="宋体"/>
          <w:color w:val="auto"/>
          <w:kern w:val="0"/>
          <w:szCs w:val="21"/>
          <w:highlight w:val="none"/>
        </w:rPr>
        <w:t>3.项目联系方式</w:t>
      </w:r>
    </w:p>
    <w:p w14:paraId="0921B22B">
      <w:pPr>
        <w:spacing w:line="36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项目联系人：</w:t>
      </w:r>
      <w:r>
        <w:rPr>
          <w:rFonts w:hint="eastAsia" w:ascii="宋体" w:hAnsi="宋体" w:cs="宋体"/>
          <w:color w:val="auto"/>
          <w:kern w:val="0"/>
          <w:szCs w:val="21"/>
          <w:highlight w:val="none"/>
          <w:lang w:val="en-US" w:eastAsia="zh-CN"/>
        </w:rPr>
        <w:t>魏海玲</w:t>
      </w:r>
    </w:p>
    <w:p w14:paraId="459C3C9A">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电　　  话：0519-81580152  81580191  81580192（转分机号</w:t>
      </w:r>
      <w:r>
        <w:rPr>
          <w:rFonts w:hint="eastAsia" w:ascii="宋体" w:hAnsi="宋体" w:cs="宋体"/>
          <w:color w:val="auto"/>
          <w:kern w:val="0"/>
          <w:szCs w:val="21"/>
          <w:highlight w:val="none"/>
          <w:lang w:val="en-US" w:eastAsia="zh-CN"/>
        </w:rPr>
        <w:t>6033</w:t>
      </w:r>
      <w:r>
        <w:rPr>
          <w:rFonts w:hint="eastAsia" w:ascii="宋体" w:hAnsi="宋体" w:cs="宋体"/>
          <w:color w:val="auto"/>
          <w:kern w:val="0"/>
          <w:szCs w:val="21"/>
          <w:highlight w:val="none"/>
        </w:rPr>
        <w:t>）</w:t>
      </w:r>
      <w:bookmarkStart w:id="1" w:name="_Toc17536323"/>
    </w:p>
    <w:p w14:paraId="2DB96A13">
      <w:pPr>
        <w:spacing w:line="360" w:lineRule="exact"/>
        <w:ind w:firstLine="420" w:firstLineChars="200"/>
        <w:rPr>
          <w:rFonts w:hint="eastAsia" w:ascii="宋体" w:hAnsi="宋体" w:cs="宋体"/>
          <w:color w:val="auto"/>
          <w:szCs w:val="21"/>
          <w:highlight w:val="none"/>
        </w:rPr>
      </w:pPr>
    </w:p>
    <w:p w14:paraId="3C8318F1">
      <w:pPr>
        <w:spacing w:line="360" w:lineRule="exact"/>
        <w:ind w:firstLine="420" w:firstLineChars="200"/>
        <w:rPr>
          <w:rFonts w:hint="eastAsia" w:ascii="宋体" w:hAnsi="宋体" w:cs="宋体"/>
          <w:color w:val="auto"/>
          <w:szCs w:val="21"/>
          <w:highlight w:val="none"/>
        </w:rPr>
      </w:pPr>
    </w:p>
    <w:p w14:paraId="2CFB7831">
      <w:pPr>
        <w:spacing w:line="360" w:lineRule="exact"/>
        <w:ind w:firstLine="420" w:firstLineChars="200"/>
        <w:rPr>
          <w:rFonts w:hint="eastAsia" w:ascii="宋体" w:hAnsi="宋体" w:cs="宋体"/>
          <w:color w:val="auto"/>
          <w:szCs w:val="21"/>
          <w:highlight w:val="none"/>
        </w:rPr>
      </w:pPr>
    </w:p>
    <w:p w14:paraId="38D68D3A">
      <w:pPr>
        <w:spacing w:line="36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本公示信息已征得相关当事人同意后发布。</w:t>
      </w:r>
    </w:p>
    <w:p w14:paraId="5EB57AF0">
      <w:pPr>
        <w:rPr>
          <w:rFonts w:ascii="宋体" w:hAnsi="宋体" w:cs="宋体"/>
          <w:color w:val="auto"/>
          <w:kern w:val="0"/>
          <w:szCs w:val="21"/>
          <w:highlight w:val="none"/>
        </w:rPr>
      </w:pPr>
      <w:r>
        <w:rPr>
          <w:rFonts w:hint="eastAsia" w:ascii="宋体" w:hAnsi="宋体" w:cs="宋体"/>
          <w:color w:val="auto"/>
          <w:kern w:val="0"/>
          <w:szCs w:val="21"/>
          <w:highlight w:val="none"/>
        </w:rPr>
        <w:br w:type="page"/>
      </w:r>
    </w:p>
    <w:p w14:paraId="07FF2268">
      <w:pPr>
        <w:pStyle w:val="3"/>
        <w:rPr>
          <w:rFonts w:ascii="宋体" w:hAnsi="宋体" w:cs="宋体"/>
          <w:color w:val="auto"/>
          <w:highlight w:val="none"/>
        </w:rPr>
      </w:pPr>
      <w:r>
        <w:rPr>
          <w:rFonts w:hint="eastAsia" w:ascii="宋体" w:hAnsi="宋体" w:cs="宋体"/>
          <w:color w:val="auto"/>
          <w:highlight w:val="none"/>
        </w:rPr>
        <w:t>第一章    总     则</w:t>
      </w:r>
      <w:bookmarkEnd w:id="1"/>
    </w:p>
    <w:p w14:paraId="61D7B7DC">
      <w:pPr>
        <w:spacing w:line="360" w:lineRule="exact"/>
        <w:outlineLvl w:val="0"/>
        <w:rPr>
          <w:rFonts w:ascii="宋体" w:hAnsi="宋体" w:cs="宋体"/>
          <w:b/>
          <w:bCs/>
          <w:color w:val="auto"/>
          <w:szCs w:val="21"/>
          <w:highlight w:val="none"/>
        </w:rPr>
      </w:pPr>
      <w:r>
        <w:rPr>
          <w:rFonts w:hint="eastAsia" w:ascii="宋体" w:hAnsi="宋体" w:cs="宋体"/>
          <w:b/>
          <w:bCs/>
          <w:color w:val="auto"/>
          <w:szCs w:val="21"/>
          <w:highlight w:val="none"/>
        </w:rPr>
        <w:t>1.采购方式</w:t>
      </w:r>
    </w:p>
    <w:p w14:paraId="2BB5691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本项目采用竞争性磋商方式，本竞争性磋商文件仅适用于磋商公告中所述项目。</w:t>
      </w:r>
    </w:p>
    <w:p w14:paraId="698D35A0">
      <w:pPr>
        <w:spacing w:line="360" w:lineRule="exact"/>
        <w:outlineLvl w:val="0"/>
        <w:rPr>
          <w:rFonts w:ascii="宋体" w:hAnsi="宋体" w:cs="宋体"/>
          <w:color w:val="auto"/>
          <w:szCs w:val="21"/>
          <w:highlight w:val="none"/>
        </w:rPr>
      </w:pPr>
      <w:r>
        <w:rPr>
          <w:rFonts w:hint="eastAsia" w:ascii="宋体" w:hAnsi="宋体" w:cs="宋体"/>
          <w:b/>
          <w:color w:val="auto"/>
          <w:szCs w:val="21"/>
          <w:highlight w:val="none"/>
        </w:rPr>
        <w:t>2.合格的供应商</w:t>
      </w:r>
    </w:p>
    <w:p w14:paraId="694F23A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 满足公告中供应商的资格要求的规定。</w:t>
      </w:r>
    </w:p>
    <w:p w14:paraId="1C17800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 满足本文件实质性条款的规定。</w:t>
      </w:r>
    </w:p>
    <w:p w14:paraId="4C987061">
      <w:pPr>
        <w:spacing w:line="360" w:lineRule="exact"/>
        <w:outlineLvl w:val="0"/>
        <w:rPr>
          <w:rFonts w:ascii="宋体" w:hAnsi="宋体" w:cs="宋体"/>
          <w:color w:val="auto"/>
          <w:szCs w:val="21"/>
          <w:highlight w:val="none"/>
        </w:rPr>
      </w:pPr>
      <w:r>
        <w:rPr>
          <w:rFonts w:hint="eastAsia" w:ascii="宋体" w:hAnsi="宋体" w:cs="宋体"/>
          <w:b/>
          <w:color w:val="auto"/>
          <w:szCs w:val="21"/>
          <w:highlight w:val="none"/>
        </w:rPr>
        <w:t>3.磋商费用</w:t>
      </w:r>
    </w:p>
    <w:p w14:paraId="0F1C042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参加磋商供应商应自行承担所有与参加磋商有关的费用。无论最终成交结果如何，采购代理机构在任何情况下均无义务和责任承担这些费用。</w:t>
      </w:r>
    </w:p>
    <w:p w14:paraId="40D8B1AC">
      <w:pPr>
        <w:spacing w:line="360" w:lineRule="exact"/>
        <w:outlineLvl w:val="0"/>
        <w:rPr>
          <w:rFonts w:ascii="宋体" w:hAnsi="宋体" w:cs="宋体"/>
          <w:b/>
          <w:color w:val="auto"/>
          <w:szCs w:val="21"/>
          <w:highlight w:val="none"/>
        </w:rPr>
      </w:pPr>
      <w:r>
        <w:rPr>
          <w:rFonts w:hint="eastAsia" w:ascii="宋体" w:hAnsi="宋体" w:cs="宋体"/>
          <w:b/>
          <w:color w:val="auto"/>
          <w:szCs w:val="21"/>
          <w:highlight w:val="none"/>
        </w:rPr>
        <w:t>4.竞争性磋商文件的组成</w:t>
      </w:r>
    </w:p>
    <w:p w14:paraId="5424FB5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本文件及依法对本文件所作的更正内容均为竞争性磋商文件的组成部分。</w:t>
      </w:r>
    </w:p>
    <w:p w14:paraId="29CAE2A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供应商应仔细检查竞争性磋商文件是否齐全，如有缺漏，立即与代理机构联系解决。</w:t>
      </w:r>
    </w:p>
    <w:p w14:paraId="6765839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认真阅读竞争性磋商文件中所有的事项、格式、条款和规范等要求。按竞争性磋商文件要求和规定编制磋商响应文件，并保证所提供的全部资料的真实性，以使其磋商响应文件对竞争性磋商文件作出实质性响应，否则其风险由供应商自行承担。</w:t>
      </w:r>
    </w:p>
    <w:p w14:paraId="3C764C2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供应商一旦参加本项目采购活动，即被认为接受了本竞争性磋商文件的规定和约束。</w:t>
      </w:r>
    </w:p>
    <w:p w14:paraId="2153C677">
      <w:pPr>
        <w:spacing w:line="360" w:lineRule="exact"/>
        <w:outlineLvl w:val="0"/>
        <w:rPr>
          <w:rFonts w:ascii="宋体" w:hAnsi="宋体" w:cs="宋体"/>
          <w:b/>
          <w:color w:val="auto"/>
          <w:szCs w:val="21"/>
          <w:highlight w:val="none"/>
        </w:rPr>
      </w:pPr>
      <w:r>
        <w:rPr>
          <w:rFonts w:hint="eastAsia" w:ascii="宋体" w:hAnsi="宋体" w:cs="宋体"/>
          <w:b/>
          <w:color w:val="auto"/>
          <w:szCs w:val="21"/>
          <w:highlight w:val="none"/>
        </w:rPr>
        <w:t>5.竞争性磋商文件的补充、澄清、更正</w:t>
      </w:r>
    </w:p>
    <w:p w14:paraId="25F17E5A">
      <w:pPr>
        <w:spacing w:line="360" w:lineRule="exact"/>
        <w:ind w:firstLine="420"/>
        <w:rPr>
          <w:rFonts w:ascii="宋体" w:hAnsi="宋体" w:cs="宋体"/>
          <w:bCs/>
          <w:color w:val="auto"/>
          <w:szCs w:val="21"/>
          <w:highlight w:val="none"/>
        </w:rPr>
      </w:pPr>
      <w:r>
        <w:rPr>
          <w:rFonts w:hint="eastAsia" w:ascii="宋体" w:hAnsi="宋体" w:cs="宋体"/>
          <w:bCs/>
          <w:color w:val="auto"/>
          <w:szCs w:val="21"/>
          <w:highlight w:val="none"/>
        </w:rPr>
        <w:t>5.1 代理机构向供应商提供的有关资料和数据，是代理机构现有的能使供应商利用的资料。代理机构对供应商由此而作出的推论、理解和结论概不负责。供应商由于对竞争性磋商文件的任何推论和误解以及采购人对有关问题的口头解释所造成的后果，均由供应商自负。</w:t>
      </w:r>
    </w:p>
    <w:p w14:paraId="3C89023C">
      <w:pPr>
        <w:spacing w:line="360" w:lineRule="exact"/>
        <w:ind w:firstLine="420"/>
        <w:rPr>
          <w:rFonts w:ascii="宋体" w:hAnsi="宋体" w:cs="宋体"/>
          <w:b/>
          <w:bCs/>
          <w:color w:val="auto"/>
          <w:szCs w:val="21"/>
          <w:highlight w:val="none"/>
        </w:rPr>
      </w:pPr>
      <w:r>
        <w:rPr>
          <w:rFonts w:hint="eastAsia" w:ascii="宋体" w:hAnsi="宋体" w:cs="宋体"/>
          <w:bCs/>
          <w:color w:val="auto"/>
          <w:szCs w:val="21"/>
          <w:highlight w:val="none"/>
        </w:rPr>
        <w:t>5.2 供应商提出的与磋商有关的任何问题须在收到竞争性磋商文件后，按规定时间以书面形式提交至采购代理机构，未以书面形式提出或逾期提出的异议将不被接受。</w:t>
      </w:r>
      <w:r>
        <w:rPr>
          <w:rFonts w:hint="eastAsia" w:ascii="宋体" w:hAnsi="宋体" w:cs="宋体"/>
          <w:color w:val="auto"/>
          <w:szCs w:val="21"/>
          <w:highlight w:val="none"/>
        </w:rPr>
        <w:t>如无疑问，视作供应商完全响应竞争性磋商文件的条款和要求。</w:t>
      </w:r>
    </w:p>
    <w:p w14:paraId="6F2792D5">
      <w:pPr>
        <w:spacing w:line="36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5.3 采购人及代理机构有权对已发出的竞争性磋商文件进行必要的澄清或更正。</w:t>
      </w:r>
    </w:p>
    <w:p w14:paraId="5C38E9D1">
      <w:pPr>
        <w:spacing w:line="36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5.4 采购人可视具体情况，延长磋商响应文件提交截止时间和磋商时间。</w:t>
      </w:r>
    </w:p>
    <w:p w14:paraId="0E6EDB42">
      <w:pPr>
        <w:spacing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5.5 所有有关竞争性磋商文件的补充、澄清、更正</w:t>
      </w:r>
      <w:r>
        <w:rPr>
          <w:rFonts w:hint="eastAsia" w:ascii="宋体" w:hAnsi="宋体" w:cs="宋体"/>
          <w:b/>
          <w:color w:val="auto"/>
          <w:szCs w:val="21"/>
          <w:highlight w:val="none"/>
        </w:rPr>
        <w:t>将在</w:t>
      </w:r>
      <w:r>
        <w:rPr>
          <w:rFonts w:hint="eastAsia" w:ascii="宋体" w:hAnsi="宋体"/>
          <w:b/>
          <w:color w:val="auto"/>
          <w:szCs w:val="21"/>
          <w:highlight w:val="none"/>
        </w:rPr>
        <w:t>原公告</w:t>
      </w:r>
      <w:r>
        <w:rPr>
          <w:rFonts w:ascii="宋体" w:hAnsi="宋体"/>
          <w:b/>
          <w:color w:val="auto"/>
          <w:szCs w:val="21"/>
          <w:highlight w:val="none"/>
        </w:rPr>
        <w:t>媒体上</w:t>
      </w:r>
      <w:r>
        <w:rPr>
          <w:rFonts w:hint="eastAsia" w:ascii="宋体" w:hAnsi="宋体"/>
          <w:b/>
          <w:color w:val="auto"/>
          <w:szCs w:val="21"/>
          <w:highlight w:val="none"/>
        </w:rPr>
        <w:t>予以公告</w:t>
      </w:r>
      <w:r>
        <w:rPr>
          <w:rFonts w:hint="eastAsia" w:ascii="宋体" w:hAnsi="宋体" w:cs="宋体"/>
          <w:b/>
          <w:color w:val="auto"/>
          <w:szCs w:val="21"/>
          <w:highlight w:val="none"/>
        </w:rPr>
        <w:t>。上述内容将作为</w:t>
      </w:r>
      <w:r>
        <w:rPr>
          <w:rFonts w:hint="eastAsia" w:ascii="宋体" w:hAnsi="宋体" w:cs="宋体"/>
          <w:b/>
          <w:bCs/>
          <w:color w:val="auto"/>
          <w:szCs w:val="21"/>
          <w:highlight w:val="none"/>
        </w:rPr>
        <w:t>竞争性磋商文件</w:t>
      </w:r>
      <w:r>
        <w:rPr>
          <w:rFonts w:hint="eastAsia" w:ascii="宋体" w:hAnsi="宋体" w:cs="宋体"/>
          <w:b/>
          <w:color w:val="auto"/>
          <w:szCs w:val="21"/>
          <w:highlight w:val="none"/>
        </w:rPr>
        <w:t>的组成部分，并对供应商具有约束力，由供应商自行关注并获取。</w:t>
      </w:r>
    </w:p>
    <w:p w14:paraId="4DDE2EC5">
      <w:pPr>
        <w:spacing w:line="360" w:lineRule="exact"/>
        <w:outlineLvl w:val="0"/>
        <w:rPr>
          <w:rFonts w:ascii="宋体" w:hAnsi="宋体" w:cs="宋体"/>
          <w:b/>
          <w:color w:val="auto"/>
          <w:szCs w:val="21"/>
          <w:highlight w:val="none"/>
        </w:rPr>
      </w:pPr>
      <w:r>
        <w:rPr>
          <w:rFonts w:hint="eastAsia" w:ascii="宋体" w:hAnsi="宋体" w:cs="宋体"/>
          <w:b/>
          <w:color w:val="auto"/>
          <w:szCs w:val="21"/>
          <w:highlight w:val="none"/>
        </w:rPr>
        <w:t>6.供应商的义务</w:t>
      </w:r>
    </w:p>
    <w:p w14:paraId="5FB5137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6.1 供应商应当认真阅读竞争性磋商文件，完全明了采购项目的内容。</w:t>
      </w:r>
    </w:p>
    <w:p w14:paraId="40B84BD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6.2 供应商应当按照竞争性磋商文件的要求编制磋商响应文件。磋商响应文件应对竞争性磋商文件提出的实质性要求和条件作出完全响应。</w:t>
      </w:r>
    </w:p>
    <w:p w14:paraId="7941625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6.3 供应商应在磋商响应文件提交截止时间前，将密封的磋商响应文件送达磋商地点。</w:t>
      </w:r>
    </w:p>
    <w:p w14:paraId="5C67C15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6.4 供应商不得相互串通磋商报价，不得排挤其他供应商的公平竞争，损害采购人或者其他供应商合法权益。供应商不得与采购人串通，损害国家利益，公众利益或者他人的合法权益。</w:t>
      </w:r>
    </w:p>
    <w:p w14:paraId="204B87F6">
      <w:pPr>
        <w:spacing w:line="360" w:lineRule="exact"/>
        <w:outlineLvl w:val="0"/>
        <w:rPr>
          <w:rFonts w:ascii="宋体" w:hAnsi="宋体" w:cs="宋体"/>
          <w:color w:val="auto"/>
          <w:szCs w:val="21"/>
          <w:highlight w:val="none"/>
        </w:rPr>
      </w:pPr>
      <w:r>
        <w:rPr>
          <w:rFonts w:hint="eastAsia" w:ascii="宋体" w:hAnsi="宋体" w:cs="宋体"/>
          <w:b/>
          <w:color w:val="auto"/>
          <w:szCs w:val="21"/>
          <w:highlight w:val="none"/>
        </w:rPr>
        <w:t>7.磋商报价</w:t>
      </w:r>
    </w:p>
    <w:p w14:paraId="0E0C1A77">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 本项目磋商总价应包括为完成该项货物和服务项目所涉及到的一切相关费用，采购人不再支付其他任何费用。</w:t>
      </w:r>
    </w:p>
    <w:p w14:paraId="015FEF2C">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 磋商报价方式</w:t>
      </w:r>
    </w:p>
    <w:p w14:paraId="5867175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7.2.1 供应商应按照竞争性磋商文件中提供的格式完整填写报价一览表。报价一览表中的报价应与磋商分项报价表的总价完全一致，如有不一致的，以报价一览表的报价为准。</w:t>
      </w:r>
    </w:p>
    <w:p w14:paraId="05F752D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填报磋商分项报价表时，每一单项均应计算并填写单价和总价，该表由法定代表人或代理人签署。供应商未填单价或合价的项目，在实施后，采购人将不予支付，并视为该项费用已包括在其它有价款的单价或合价内。一项磋商内容只允许一个报价，不接受任何有选择性的磋商报价。</w:t>
      </w:r>
    </w:p>
    <w:p w14:paraId="7C31555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 报价货币为人民币，评审时以人民币为准。</w:t>
      </w:r>
    </w:p>
    <w:p w14:paraId="0BA50CDC">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7.2.3 磋商报价高于最高限价的作为无效响应处理。</w:t>
      </w:r>
    </w:p>
    <w:p w14:paraId="55EB046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7.2.4 磋商报价次数：</w:t>
      </w:r>
      <w:r>
        <w:rPr>
          <w:rFonts w:hint="eastAsia" w:ascii="宋体" w:hAnsi="宋体" w:cs="宋体"/>
          <w:b/>
          <w:color w:val="auto"/>
          <w:szCs w:val="21"/>
          <w:highlight w:val="none"/>
        </w:rPr>
        <w:t>本项目采用至少二次报价，</w:t>
      </w:r>
      <w:r>
        <w:rPr>
          <w:rFonts w:hint="eastAsia" w:ascii="宋体" w:hAnsi="宋体" w:cs="宋体"/>
          <w:color w:val="auto"/>
          <w:szCs w:val="21"/>
          <w:highlight w:val="none"/>
        </w:rPr>
        <w:t>磋商响应文件报价一览表的报价作为首次报价，在磋商结束后，磋商小组应当要求所有实质性响应的供应商在规定时间内提交最后报价，最后报价作为评分依据。</w:t>
      </w:r>
      <w:r>
        <w:rPr>
          <w:rFonts w:hint="eastAsia" w:ascii="宋体" w:hAnsi="宋体" w:cs="宋体"/>
          <w:b/>
          <w:color w:val="auto"/>
          <w:szCs w:val="21"/>
          <w:highlight w:val="none"/>
        </w:rPr>
        <w:t>除实质性变动采购需求中的技术、服务要求以及合同草案条款外，供应商的最终报价不得高于磋商响应文件的首次报价，否则视为无效响应。</w:t>
      </w:r>
    </w:p>
    <w:p w14:paraId="3414AAE7">
      <w:pPr>
        <w:spacing w:line="360" w:lineRule="exact"/>
        <w:outlineLvl w:val="0"/>
        <w:rPr>
          <w:rFonts w:ascii="宋体" w:hAnsi="宋体" w:cs="宋体"/>
          <w:color w:val="auto"/>
          <w:szCs w:val="21"/>
          <w:highlight w:val="none"/>
        </w:rPr>
      </w:pPr>
      <w:r>
        <w:rPr>
          <w:rFonts w:hint="eastAsia" w:ascii="宋体" w:hAnsi="宋体" w:cs="宋体"/>
          <w:b/>
          <w:color w:val="auto"/>
          <w:szCs w:val="21"/>
          <w:highlight w:val="none"/>
        </w:rPr>
        <w:t>8.磋商响应文件的组成</w:t>
      </w:r>
    </w:p>
    <w:p w14:paraId="17ED1E56">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详见第五章《磋商响应文件的组成》。</w:t>
      </w:r>
    </w:p>
    <w:p w14:paraId="1EBA4241">
      <w:pPr>
        <w:spacing w:line="360" w:lineRule="exact"/>
        <w:outlineLvl w:val="0"/>
        <w:rPr>
          <w:rFonts w:ascii="宋体" w:hAnsi="宋体" w:cs="宋体"/>
          <w:color w:val="auto"/>
          <w:szCs w:val="21"/>
          <w:highlight w:val="none"/>
        </w:rPr>
      </w:pPr>
      <w:r>
        <w:rPr>
          <w:rFonts w:hint="eastAsia" w:ascii="宋体" w:hAnsi="宋体" w:cs="宋体"/>
          <w:b/>
          <w:color w:val="auto"/>
          <w:szCs w:val="21"/>
          <w:highlight w:val="none"/>
        </w:rPr>
        <w:t>9.磋商保证金</w:t>
      </w:r>
    </w:p>
    <w:p w14:paraId="6A8C7AF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 磋商保证金是磋商响应文件的一个组成部分，供应商须按规定从供应商账户缴纳。磋商时，未按要求缴纳保证金的视为无效响应。</w:t>
      </w:r>
    </w:p>
    <w:p w14:paraId="2A56879D">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9.2 未成交供应商的保证金将在成交通知书发出后五个工作日内退还。</w:t>
      </w:r>
    </w:p>
    <w:p w14:paraId="549D4DC1">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9.3 成交供应商的磋商保证金将在其合同签约完毕（合同须由代理机构备案）后五个工作日内退还。</w:t>
      </w:r>
    </w:p>
    <w:p w14:paraId="31BCB609">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9.4 供应商出现下列情况之一的，取消其成交资格，</w:t>
      </w:r>
      <w:r>
        <w:rPr>
          <w:rFonts w:hint="eastAsia" w:ascii="宋体" w:hAnsi="宋体" w:cs="宋体"/>
          <w:b/>
          <w:color w:val="auto"/>
          <w:szCs w:val="21"/>
          <w:highlight w:val="none"/>
        </w:rPr>
        <w:t>磋商保证金不予退还：</w:t>
      </w:r>
    </w:p>
    <w:p w14:paraId="2FA057B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9.4.1 供应商在磋商有效期内撤回其磋商响应文件（磋商过程中，经采购人确认，实质性变动采购需求中的技术、服务要求以及合同草案条款，供应商退出磋商的除外）；</w:t>
      </w:r>
    </w:p>
    <w:p w14:paraId="3551657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9.4.2 成交供应商未能在竞争性磋商文件规定的期限提交履约保证金；</w:t>
      </w:r>
    </w:p>
    <w:p w14:paraId="0EAE4E3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9.4.3 成交供应商无正当理由拒绝签订合同或者由于供应商的原因导致成交无效的；</w:t>
      </w:r>
    </w:p>
    <w:p w14:paraId="4FFC42F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9.4.4 供应商提供的有关资料、资格证明文件被确认是不真实的或供应商之间被证实有串通（统一哄抬价格）、欺诈行为；</w:t>
      </w:r>
    </w:p>
    <w:p w14:paraId="1BA2D30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9.4.5 供应商被证明有妨碍其他人公平竞争、损害代理机构或者其他供应商合法权益的；</w:t>
      </w:r>
    </w:p>
    <w:p w14:paraId="50869BB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9.4.6 法律法规认定的其他情形。</w:t>
      </w:r>
    </w:p>
    <w:p w14:paraId="570FC192">
      <w:pPr>
        <w:spacing w:line="360" w:lineRule="exact"/>
        <w:outlineLvl w:val="0"/>
        <w:rPr>
          <w:rFonts w:ascii="宋体" w:hAnsi="宋体" w:cs="宋体"/>
          <w:color w:val="auto"/>
          <w:szCs w:val="21"/>
          <w:highlight w:val="none"/>
        </w:rPr>
      </w:pPr>
      <w:r>
        <w:rPr>
          <w:rFonts w:hint="eastAsia" w:ascii="宋体" w:hAnsi="宋体" w:cs="宋体"/>
          <w:b/>
          <w:color w:val="auto"/>
          <w:szCs w:val="21"/>
          <w:highlight w:val="none"/>
        </w:rPr>
        <w:t>10.磋商响应文件的制作</w:t>
      </w:r>
    </w:p>
    <w:p w14:paraId="1281E9F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 供应商应提交</w:t>
      </w:r>
      <w:r>
        <w:rPr>
          <w:rFonts w:hint="eastAsia" w:ascii="宋体" w:hAnsi="宋体" w:cs="宋体"/>
          <w:b/>
          <w:color w:val="auto"/>
          <w:szCs w:val="21"/>
          <w:highlight w:val="none"/>
          <w:u w:val="single"/>
        </w:rPr>
        <w:t>装订的磋商响应文件</w:t>
      </w:r>
      <w:r>
        <w:rPr>
          <w:rFonts w:hint="eastAsia" w:ascii="宋体" w:hAnsi="宋体" w:cs="宋体"/>
          <w:b/>
          <w:bCs/>
          <w:color w:val="auto"/>
          <w:szCs w:val="21"/>
          <w:highlight w:val="none"/>
          <w:u w:val="single"/>
        </w:rPr>
        <w:t>壹份“正本”、贰份“副本”、壹份盖章版“电子文档”（载体</w:t>
      </w:r>
      <w:r>
        <w:rPr>
          <w:rFonts w:ascii="宋体" w:hAnsi="宋体" w:cs="宋体"/>
          <w:b/>
          <w:bCs/>
          <w:color w:val="auto"/>
          <w:szCs w:val="21"/>
          <w:highlight w:val="none"/>
          <w:u w:val="single"/>
        </w:rPr>
        <w:t>采用</w:t>
      </w:r>
      <w:r>
        <w:rPr>
          <w:rFonts w:hint="eastAsia" w:ascii="宋体" w:hAnsi="宋体" w:cs="宋体"/>
          <w:b/>
          <w:bCs/>
          <w:color w:val="auto"/>
          <w:szCs w:val="21"/>
          <w:highlight w:val="none"/>
          <w:u w:val="single"/>
        </w:rPr>
        <w:t>“电子光盘”或“U盘”，内容包含全套正本磋商响应文件）</w:t>
      </w:r>
      <w:r>
        <w:rPr>
          <w:rFonts w:hint="eastAsia" w:ascii="宋体" w:hAnsi="宋体" w:cs="宋体"/>
          <w:b/>
          <w:color w:val="auto"/>
          <w:szCs w:val="21"/>
          <w:highlight w:val="none"/>
          <w:u w:val="single"/>
        </w:rPr>
        <w:t>。</w:t>
      </w:r>
      <w:r>
        <w:rPr>
          <w:rFonts w:hint="eastAsia" w:ascii="宋体" w:hAnsi="宋体" w:cs="宋体"/>
          <w:color w:val="auto"/>
          <w:szCs w:val="21"/>
          <w:highlight w:val="none"/>
        </w:rPr>
        <w:t>纸质版磋商响应文件正本和副本如有不一致之处，以纸质版正本为准。</w:t>
      </w:r>
    </w:p>
    <w:p w14:paraId="1CF8653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 磋商响应文件正本、副本必须全部是打印件。供应商应按照要求签字、盖章。</w:t>
      </w:r>
    </w:p>
    <w:p w14:paraId="0050D93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 磋商响应文件应无涂改和行间插字，供应商造成的必须修改的错误，修改处应由磋商响应文件法定代表人或授权委托人签字或盖章并加盖供应商公章，否则修改无效。</w:t>
      </w:r>
    </w:p>
    <w:p w14:paraId="38A8BBD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10.4 </w:t>
      </w:r>
      <w:r>
        <w:rPr>
          <w:rFonts w:hint="eastAsia" w:ascii="宋体" w:hAnsi="宋体" w:cs="宋体"/>
          <w:b/>
          <w:color w:val="auto"/>
          <w:szCs w:val="21"/>
          <w:highlight w:val="none"/>
        </w:rPr>
        <w:t>本文件所表述（指定）的公章是指法定名称章，不包括合同专用章、业务专用章等印章；盖章是指加盖鲜章。</w:t>
      </w:r>
    </w:p>
    <w:p w14:paraId="3C3BD452">
      <w:pPr>
        <w:spacing w:line="360" w:lineRule="exact"/>
        <w:outlineLvl w:val="0"/>
        <w:rPr>
          <w:rFonts w:ascii="宋体" w:hAnsi="宋体" w:cs="宋体"/>
          <w:b/>
          <w:color w:val="auto"/>
          <w:szCs w:val="21"/>
          <w:highlight w:val="none"/>
        </w:rPr>
      </w:pPr>
      <w:r>
        <w:rPr>
          <w:rFonts w:hint="eastAsia" w:ascii="宋体" w:hAnsi="宋体" w:cs="宋体"/>
          <w:b/>
          <w:color w:val="auto"/>
          <w:szCs w:val="21"/>
          <w:highlight w:val="none"/>
        </w:rPr>
        <w:t>11.磋商响应文件的有效期</w:t>
      </w:r>
    </w:p>
    <w:p w14:paraId="5E4D172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磋商响应文件有效期为规定的开标之日后</w:t>
      </w:r>
      <w:r>
        <w:rPr>
          <w:rFonts w:hint="eastAsia" w:ascii="宋体" w:hAnsi="宋体" w:cs="宋体"/>
          <w:b/>
          <w:color w:val="auto"/>
          <w:szCs w:val="21"/>
          <w:highlight w:val="none"/>
          <w:u w:val="single"/>
        </w:rPr>
        <w:t>六十（60）天</w:t>
      </w:r>
      <w:r>
        <w:rPr>
          <w:rFonts w:hint="eastAsia" w:ascii="宋体" w:hAnsi="宋体" w:cs="宋体"/>
          <w:color w:val="auto"/>
          <w:szCs w:val="21"/>
          <w:highlight w:val="none"/>
        </w:rPr>
        <w:t>。磋商响应文件有效期比规定短的将被视为无效响应而予以拒绝。</w:t>
      </w:r>
    </w:p>
    <w:p w14:paraId="4E7DB99C">
      <w:pPr>
        <w:spacing w:line="360" w:lineRule="exact"/>
        <w:outlineLvl w:val="0"/>
        <w:rPr>
          <w:rFonts w:ascii="宋体" w:hAnsi="宋体" w:cs="宋体"/>
          <w:color w:val="auto"/>
          <w:szCs w:val="21"/>
          <w:highlight w:val="none"/>
        </w:rPr>
      </w:pPr>
      <w:r>
        <w:rPr>
          <w:rFonts w:hint="eastAsia" w:ascii="宋体" w:hAnsi="宋体" w:cs="宋体"/>
          <w:b/>
          <w:color w:val="auto"/>
          <w:szCs w:val="21"/>
          <w:highlight w:val="none"/>
        </w:rPr>
        <w:t>12.磋商响应文件的密封</w:t>
      </w:r>
    </w:p>
    <w:p w14:paraId="4846875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磋商响应文件</w:t>
      </w:r>
      <w:r>
        <w:rPr>
          <w:rFonts w:hint="eastAsia" w:ascii="宋体" w:hAnsi="宋体" w:cs="宋体"/>
          <w:b/>
          <w:color w:val="auto"/>
          <w:szCs w:val="21"/>
          <w:highlight w:val="none"/>
        </w:rPr>
        <w:t>正本、副本、电子文档均应当密封，</w:t>
      </w:r>
      <w:r>
        <w:rPr>
          <w:rFonts w:hint="eastAsia" w:ascii="宋体" w:hAnsi="宋体" w:cs="宋体"/>
          <w:color w:val="auto"/>
          <w:szCs w:val="21"/>
          <w:highlight w:val="none"/>
        </w:rPr>
        <w:t>所有封袋上都应当</w:t>
      </w:r>
      <w:r>
        <w:rPr>
          <w:rFonts w:hint="eastAsia" w:ascii="宋体" w:hAnsi="宋体" w:cs="宋体"/>
          <w:b/>
          <w:color w:val="auto"/>
          <w:szCs w:val="21"/>
          <w:highlight w:val="none"/>
        </w:rPr>
        <w:t>加盖供应商公章</w:t>
      </w:r>
      <w:r>
        <w:rPr>
          <w:rFonts w:hint="eastAsia" w:ascii="宋体" w:hAnsi="宋体" w:cs="宋体"/>
          <w:color w:val="auto"/>
          <w:szCs w:val="21"/>
          <w:highlight w:val="none"/>
        </w:rPr>
        <w:t>。</w:t>
      </w:r>
    </w:p>
    <w:p w14:paraId="54C2DD23">
      <w:pPr>
        <w:spacing w:line="360" w:lineRule="exact"/>
        <w:outlineLvl w:val="0"/>
        <w:rPr>
          <w:rFonts w:ascii="宋体" w:hAnsi="宋体" w:cs="宋体"/>
          <w:b/>
          <w:color w:val="auto"/>
          <w:szCs w:val="21"/>
          <w:highlight w:val="none"/>
        </w:rPr>
      </w:pPr>
      <w:r>
        <w:rPr>
          <w:rFonts w:hint="eastAsia" w:ascii="宋体" w:hAnsi="宋体" w:cs="宋体"/>
          <w:b/>
          <w:color w:val="auto"/>
          <w:szCs w:val="21"/>
          <w:highlight w:val="none"/>
        </w:rPr>
        <w:t>13.磋商响应文件提交截止时间及地点</w:t>
      </w:r>
    </w:p>
    <w:p w14:paraId="52AA5AF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供应商应在规定的截止日期和时间之前将磋商响应文件提交至公告中注明的地点，凡逾期送达的磋商响应文件将不予接收。</w:t>
      </w:r>
    </w:p>
    <w:p w14:paraId="2E5E94FD">
      <w:pPr>
        <w:spacing w:line="360" w:lineRule="exact"/>
        <w:outlineLvl w:val="0"/>
        <w:rPr>
          <w:rFonts w:ascii="宋体" w:hAnsi="宋体" w:cs="宋体"/>
          <w:color w:val="auto"/>
          <w:szCs w:val="21"/>
          <w:highlight w:val="none"/>
        </w:rPr>
      </w:pPr>
      <w:r>
        <w:rPr>
          <w:rFonts w:hint="eastAsia" w:ascii="宋体" w:hAnsi="宋体" w:cs="宋体"/>
          <w:b/>
          <w:color w:val="auto"/>
          <w:szCs w:val="21"/>
          <w:highlight w:val="none"/>
        </w:rPr>
        <w:t>14.磋商响应文件的修改和撤回</w:t>
      </w:r>
    </w:p>
    <w:p w14:paraId="7D86819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提交响应文件截止时间前，可以对所提交的响应文件进行补充、修改或撤回，并书面通知代理机构。补充、修改的内容作为响应文件的组成部分。补充、修改的内容与响应文件不一致的，以补充、修改的内容为准。</w:t>
      </w:r>
    </w:p>
    <w:p w14:paraId="2C26ED0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补充、修改或撤回文件应按规定进行编制、密封、标记和发送，并应在封套上加注“补充”、“修改”或“撤回”字样。上述补充或修改若涉及磋商报价，必须注明“最后唯一报价”字样，否则将视为有选择的报价。修改文件必须在磋商响应文件提交截止时间前送达磋商地点。</w:t>
      </w:r>
    </w:p>
    <w:p w14:paraId="6C5FF796">
      <w:pPr>
        <w:spacing w:line="36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在磋商响应文件提交截止时间至竞争性磋商文件中规定的磋商有效期满之间的这段时间内，供应商不得撤销其磋商响应，否则其磋商保证金将不予退还。</w:t>
      </w:r>
      <w:r>
        <w:rPr>
          <w:rFonts w:hint="eastAsia" w:ascii="宋体" w:hAnsi="宋体" w:cs="宋体"/>
          <w:b/>
          <w:bCs/>
          <w:color w:val="auto"/>
          <w:szCs w:val="21"/>
          <w:highlight w:val="none"/>
        </w:rPr>
        <w:t>（磋商过程中，经采购人确认，实质性变动采购需求中的技术、服务要求以及合同草案条款，供应商退出磋商的除外）</w:t>
      </w:r>
    </w:p>
    <w:p w14:paraId="38AA31B9">
      <w:pPr>
        <w:spacing w:line="360" w:lineRule="exact"/>
        <w:outlineLvl w:val="0"/>
        <w:rPr>
          <w:rFonts w:ascii="宋体" w:hAnsi="宋体" w:cs="宋体"/>
          <w:b/>
          <w:color w:val="auto"/>
          <w:szCs w:val="21"/>
          <w:highlight w:val="none"/>
        </w:rPr>
      </w:pPr>
      <w:r>
        <w:rPr>
          <w:rFonts w:hint="eastAsia" w:ascii="宋体" w:hAnsi="宋体" w:cs="宋体"/>
          <w:b/>
          <w:color w:val="auto"/>
          <w:szCs w:val="21"/>
          <w:highlight w:val="none"/>
        </w:rPr>
        <w:t>15.磋商仪式</w:t>
      </w:r>
    </w:p>
    <w:p w14:paraId="7442665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 代理机构按磋商公告中规定的时间、地点组织磋商开始仪式。</w:t>
      </w:r>
    </w:p>
    <w:p w14:paraId="325CF32B">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15.2 供应商参加磋商仪式的</w:t>
      </w:r>
      <w:r>
        <w:rPr>
          <w:rFonts w:hint="eastAsia" w:ascii="宋体" w:hAnsi="宋体" w:cs="宋体"/>
          <w:b/>
          <w:color w:val="auto"/>
          <w:szCs w:val="21"/>
          <w:highlight w:val="none"/>
        </w:rPr>
        <w:t>应由法定代表人或委托代理人准时参加，并签名报到以证明其出席</w:t>
      </w:r>
      <w:r>
        <w:rPr>
          <w:rFonts w:hint="eastAsia" w:cs="宋体" w:asciiTheme="minorEastAsia" w:hAnsiTheme="minorEastAsia" w:eastAsiaTheme="minorEastAsia"/>
          <w:b/>
          <w:color w:val="auto"/>
          <w:szCs w:val="21"/>
          <w:highlight w:val="none"/>
        </w:rPr>
        <w:t>，否则视为无效响应。</w:t>
      </w:r>
    </w:p>
    <w:p w14:paraId="32E99143">
      <w:pPr>
        <w:spacing w:line="360" w:lineRule="exact"/>
        <w:outlineLvl w:val="0"/>
        <w:rPr>
          <w:rFonts w:ascii="宋体" w:hAnsi="宋体" w:cs="宋体"/>
          <w:b/>
          <w:color w:val="auto"/>
          <w:szCs w:val="21"/>
          <w:highlight w:val="none"/>
        </w:rPr>
      </w:pPr>
      <w:r>
        <w:rPr>
          <w:rFonts w:hint="eastAsia" w:ascii="宋体" w:hAnsi="宋体" w:cs="宋体"/>
          <w:b/>
          <w:color w:val="auto"/>
          <w:szCs w:val="21"/>
          <w:highlight w:val="none"/>
        </w:rPr>
        <w:t>16.磋商小组</w:t>
      </w:r>
    </w:p>
    <w:p w14:paraId="45768C9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shd w:val="clear" w:color="auto" w:fill="FFFFFF"/>
        </w:rPr>
        <w:t>评审由磋商小组负责，磋商小组成员按照客观、公正、审慎的原则，根据磋商文件规定的评审程序、评审方法和评审标准进行独立评审。</w:t>
      </w:r>
    </w:p>
    <w:p w14:paraId="6FFD0B45">
      <w:pPr>
        <w:spacing w:line="360" w:lineRule="exact"/>
        <w:outlineLvl w:val="0"/>
        <w:rPr>
          <w:rFonts w:ascii="宋体" w:hAnsi="宋体" w:cs="宋体"/>
          <w:b/>
          <w:color w:val="auto"/>
          <w:szCs w:val="21"/>
          <w:highlight w:val="none"/>
        </w:rPr>
      </w:pPr>
      <w:r>
        <w:rPr>
          <w:rFonts w:hint="eastAsia" w:ascii="宋体" w:hAnsi="宋体" w:cs="宋体"/>
          <w:b/>
          <w:color w:val="auto"/>
          <w:szCs w:val="21"/>
          <w:highlight w:val="none"/>
        </w:rPr>
        <w:t>17.评审内容的保密</w:t>
      </w:r>
    </w:p>
    <w:p w14:paraId="59A644A9">
      <w:pPr>
        <w:pStyle w:val="6"/>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17.1 磋商开始后，直到宣布授予成交供应商合同为止，凡属于审查、澄清、评价和比较磋商响应文件的所有资料，有关授予合同的信息都不应向供应商或与评审无关的其他人泄露。</w:t>
      </w:r>
    </w:p>
    <w:p w14:paraId="5AA4E52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17.2 在评审过程中，供应商不得以任何行为影响评审过程，否则其磋商响应文件将被作为无效磋商响应文件。</w:t>
      </w:r>
    </w:p>
    <w:p w14:paraId="02F705B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17.3代理机构和磋商小组不向未成交的供应商解释未成交原因，也不公布评审过程中的相关细节。</w:t>
      </w:r>
    </w:p>
    <w:p w14:paraId="59A4334C">
      <w:pPr>
        <w:spacing w:line="360" w:lineRule="exact"/>
        <w:outlineLvl w:val="0"/>
        <w:rPr>
          <w:rFonts w:ascii="宋体" w:hAnsi="宋体" w:cs="宋体"/>
          <w:b/>
          <w:color w:val="auto"/>
          <w:szCs w:val="21"/>
          <w:highlight w:val="none"/>
        </w:rPr>
      </w:pPr>
      <w:r>
        <w:rPr>
          <w:rFonts w:hint="eastAsia" w:ascii="宋体" w:hAnsi="宋体" w:cs="宋体"/>
          <w:b/>
          <w:color w:val="auto"/>
          <w:szCs w:val="21"/>
          <w:highlight w:val="none"/>
        </w:rPr>
        <w:t>18.对磋商响应文件的审查</w:t>
      </w:r>
    </w:p>
    <w:p w14:paraId="0B50CC52">
      <w:pPr>
        <w:pStyle w:val="6"/>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磋商响应文件初审分为资格审查和符合性审查。</w:t>
      </w:r>
    </w:p>
    <w:p w14:paraId="35BB2AE0">
      <w:pPr>
        <w:pStyle w:val="6"/>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18.1 资格审查：依据法律法规和竞争性磋商文件的规定，对磋商响应文件中的资格证明文件进行审查。</w:t>
      </w:r>
    </w:p>
    <w:p w14:paraId="686898FB">
      <w:pPr>
        <w:pStyle w:val="6"/>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18.2 符合性审查：依据竞争性磋商文件的规定，由磋商小组从磋商响应文件的有效性、完整性和响应程度进行审查，以确定是否对竞争性磋商文件的实质性要求作出响应。</w:t>
      </w:r>
    </w:p>
    <w:p w14:paraId="0FC1CB93">
      <w:pPr>
        <w:pStyle w:val="6"/>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在正式磋商之前，磋商小组将首先审查每份磋商响应文件是否实质性响应了竞争性磋商文件的要求。实质性响应的磋商响应文件应该是与竞争性磋商文件要求的条款、条件和规格相符，没有重大负偏离或保留。</w:t>
      </w:r>
    </w:p>
    <w:p w14:paraId="18AB7995">
      <w:pPr>
        <w:pStyle w:val="6"/>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所谓重大偏离或保留是指与竞争性磋商文件规定的实质性要求存在负偏离，或者在实质上与竞争性磋商文件不一致，而且限制了合同中采购人和见证方的权利或供应商的义务，纠正这些偏离或保留将会对其他实质性响应要求的供应商的竞争地位产生不公正的影响。重大偏离的认定需经过磋商小组三分二及以上成员的认定。磋商小组决定磋商响应文件的响应性只根据磋商响应文件本身的内容，而不寻求外部的证据。如果磋商响应文件实质上未响应竞争性磋商文件的要求，磋商小组将予以拒绝，供应商不得通过修改或撤销不合要求的偏离或保留而使其磋商响应文件成为实质性响应。</w:t>
      </w:r>
    </w:p>
    <w:p w14:paraId="0563FEEE">
      <w:pPr>
        <w:pStyle w:val="6"/>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 磋商响应文件出现下列情况之一的，将作为无效磋商响应文件处理</w:t>
      </w:r>
      <w:r>
        <w:rPr>
          <w:rFonts w:hint="eastAsia" w:hAnsi="宋体" w:cs="宋体"/>
          <w:color w:val="auto"/>
          <w:sz w:val="21"/>
          <w:szCs w:val="21"/>
          <w:highlight w:val="none"/>
        </w:rPr>
        <w:t xml:space="preserve">： </w:t>
      </w:r>
    </w:p>
    <w:p w14:paraId="6837B3F8">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18.3.1 供应商未通过领购申请的或者在名称上和法人地位上与领购时发生实质性改变的；</w:t>
      </w:r>
    </w:p>
    <w:p w14:paraId="3C00242F">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18.3.2 未按竞争性磋商文件要求缴纳磋商保证金的；</w:t>
      </w:r>
    </w:p>
    <w:p w14:paraId="6C78F8E9">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18.3.3 磋商响应文件提交时未按规定密封、盖章的，电子文档未按要求提供的；</w:t>
      </w:r>
    </w:p>
    <w:p w14:paraId="77F1FAAD">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18.3.4供应商被“信用中国”网站（www.creditchina.gov.cn）列入失信被执行人、重大税收违法案件当事人名单、严重失信行为记录名单的；</w:t>
      </w:r>
    </w:p>
    <w:p w14:paraId="192ABEC1">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18.3.5</w:t>
      </w:r>
      <w:r>
        <w:rPr>
          <w:rFonts w:hint="eastAsia" w:cs="宋体" w:asciiTheme="minorEastAsia" w:hAnsiTheme="minorEastAsia" w:eastAsiaTheme="minorEastAsia"/>
          <w:color w:val="auto"/>
          <w:szCs w:val="21"/>
          <w:highlight w:val="none"/>
        </w:rPr>
        <w:t>法定代表人或委托代理人未准时参加磋商的，</w:t>
      </w:r>
      <w:r>
        <w:rPr>
          <w:rFonts w:hint="eastAsia" w:ascii="宋体" w:hAnsi="宋体" w:cs="宋体"/>
          <w:color w:val="auto"/>
          <w:szCs w:val="21"/>
          <w:highlight w:val="none"/>
        </w:rPr>
        <w:t>未按磋商文件要求提供法定代表人资格证明书或授权委托书的、无供应商公章的、无法定代表人或委托代理人签字或盖章的、非原件的；</w:t>
      </w:r>
    </w:p>
    <w:p w14:paraId="17E4A7FD">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18.3.6 供应商不符合磋商文件中规定资格要求的，或者资格要求证明材料提供不齐全的；</w:t>
      </w:r>
    </w:p>
    <w:p w14:paraId="3A0D5F64">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18.3.7 磋商响应文件未按竞争性磋商文件规定的格式、内容和要求编制，磋商响应文件字迹潦草、模糊、难以辨认；</w:t>
      </w:r>
    </w:p>
    <w:p w14:paraId="2E1147EF">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18.3.8 磋商响应文件材料所述情况和所附相关资料不实的；</w:t>
      </w:r>
    </w:p>
    <w:p w14:paraId="68017609">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18.3.9 供应商以他人的名义参加磋商、相互串通、以行贿手段谋取成交或者以其他弄虚作假方式参与磋商的。</w:t>
      </w:r>
    </w:p>
    <w:p w14:paraId="1B1A2BC9">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18.3.10 供应商在一份磋商响应文件中，对同一采购项目报有两个或多个报价，且未书面确定以哪个报价为准的；</w:t>
      </w:r>
    </w:p>
    <w:p w14:paraId="560E82CD">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18.3.11 供应商的磋商报价超出采购预算或者最高限价的；</w:t>
      </w:r>
    </w:p>
    <w:p w14:paraId="3A31912B">
      <w:pPr>
        <w:spacing w:line="360" w:lineRule="exact"/>
        <w:ind w:firstLine="439" w:firstLineChars="208"/>
        <w:rPr>
          <w:rFonts w:ascii="宋体" w:hAnsi="宋体" w:cs="宋体"/>
          <w:color w:val="auto"/>
          <w:szCs w:val="21"/>
          <w:highlight w:val="none"/>
        </w:rPr>
      </w:pPr>
      <w:r>
        <w:rPr>
          <w:rFonts w:hint="eastAsia" w:ascii="宋体" w:hAnsi="宋体" w:cs="宋体"/>
          <w:b/>
          <w:color w:val="auto"/>
          <w:szCs w:val="21"/>
          <w:highlight w:val="none"/>
        </w:rPr>
        <w:t>18.3.12 除实质性变动采购需求中的技术、服务要求以及合同草案条款外，供应商的最终报价高于磋商响应文件的首次报价的；</w:t>
      </w:r>
    </w:p>
    <w:p w14:paraId="05BCE8F0">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18.3.13 未按要求提供带“*”项材料或者带“*”项内容未盖公章的；</w:t>
      </w:r>
    </w:p>
    <w:p w14:paraId="275EF8A5">
      <w:pPr>
        <w:spacing w:line="360" w:lineRule="exact"/>
        <w:ind w:firstLine="422" w:firstLineChars="200"/>
        <w:rPr>
          <w:rFonts w:cs="宋体" w:asciiTheme="minorEastAsia" w:hAnsiTheme="minorEastAsia" w:eastAsiaTheme="minorEastAsia"/>
          <w:b/>
          <w:color w:val="auto"/>
          <w:szCs w:val="21"/>
          <w:highlight w:val="none"/>
        </w:rPr>
      </w:pPr>
      <w:bookmarkStart w:id="2" w:name="_Hlk225867470"/>
      <w:r>
        <w:rPr>
          <w:rFonts w:hint="eastAsia" w:ascii="宋体" w:hAnsi="宋体" w:cs="宋体"/>
          <w:b/>
          <w:color w:val="auto"/>
          <w:szCs w:val="21"/>
          <w:highlight w:val="none"/>
        </w:rPr>
        <w:t xml:space="preserve">18.3.14 </w:t>
      </w:r>
      <w:r>
        <w:rPr>
          <w:rFonts w:hint="eastAsia" w:cs="宋体" w:asciiTheme="minorEastAsia" w:hAnsiTheme="minorEastAsia" w:eastAsiaTheme="minorEastAsia"/>
          <w:b/>
          <w:color w:val="auto"/>
          <w:szCs w:val="21"/>
          <w:highlight w:val="none"/>
        </w:rPr>
        <w:t>评审过程中出现下列情形之一的，磋商小组应当启动异常低价响应审查程序：</w:t>
      </w:r>
    </w:p>
    <w:p w14:paraId="05A5D256">
      <w:pPr>
        <w:spacing w:line="360" w:lineRule="exact"/>
        <w:ind w:firstLine="436" w:firstLineChars="208"/>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18.3.14.1响应报价低于全部通过符合性审查供应商响应报价平均值50%的，即响应报价＜全部通过符合性审查供应商响应报价平均值×50%；</w:t>
      </w:r>
    </w:p>
    <w:p w14:paraId="1DE3DF12">
      <w:pPr>
        <w:spacing w:line="360" w:lineRule="exact"/>
        <w:ind w:firstLine="436" w:firstLineChars="208"/>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18.3.14.2响应报价低于通过符合性审查的次低报价供应商响应报价50%的，即响应报价＜通过符合性审查的次低报价供应商响应报价×50%；</w:t>
      </w:r>
    </w:p>
    <w:p w14:paraId="35C1232B">
      <w:pPr>
        <w:spacing w:line="360" w:lineRule="exact"/>
        <w:ind w:firstLine="436" w:firstLineChars="208"/>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18.3.14.3响应报价低于采购项目最高限价45%的，即响应报价＜采购项目最高限价×45%；</w:t>
      </w:r>
    </w:p>
    <w:p w14:paraId="0B7CF669">
      <w:pPr>
        <w:spacing w:line="360" w:lineRule="exact"/>
        <w:ind w:firstLine="436" w:firstLineChars="208"/>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18.3.14.4磋商小组基于专业判断，认为供应商报价过低，有可能影响产品质量或者不能诚信履约的其他情形。</w:t>
      </w:r>
    </w:p>
    <w:p w14:paraId="3FBB4B79">
      <w:pPr>
        <w:spacing w:line="360" w:lineRule="exact"/>
        <w:ind w:firstLine="436" w:firstLineChars="208"/>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磋商小组启动异常低价响应审查后，属于前述第18.3.14.1项至第18.3.14.4项情形的，应当要求相关供应商在评审现场合理的时间内对响应价格作出解释，提供项目具体成本测算等与报价合理性相关的书面说明及必要的证明材料，包括但不限于原材料成本、人工成本、制造费用等。其中，属于第18.3.14.3项情形，供应商已随响应文件一并提交相关书面说明及必要的证明材料的，在评审现场可不再重复提交。</w:t>
      </w:r>
    </w:p>
    <w:p w14:paraId="7F59BC48">
      <w:pPr>
        <w:spacing w:line="360" w:lineRule="exact"/>
        <w:ind w:firstLine="436" w:firstLineChars="208"/>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磋商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无效响应处理。</w:t>
      </w:r>
    </w:p>
    <w:p w14:paraId="4FB4C07E">
      <w:pPr>
        <w:spacing w:line="360" w:lineRule="exact"/>
        <w:ind w:firstLine="436" w:firstLineChars="208"/>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5CAC4E50">
      <w:pPr>
        <w:spacing w:line="360" w:lineRule="exact"/>
        <w:ind w:firstLine="436" w:firstLineChars="208"/>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3EF7C5EA">
      <w:pPr>
        <w:spacing w:line="360" w:lineRule="exact"/>
        <w:ind w:firstLine="437"/>
        <w:rPr>
          <w:rFonts w:ascii="宋体" w:hAnsi="宋体" w:cs="宋体"/>
          <w:b/>
          <w:color w:val="auto"/>
          <w:szCs w:val="21"/>
          <w:highlight w:val="none"/>
        </w:rPr>
      </w:pPr>
      <w:r>
        <w:rPr>
          <w:rFonts w:hint="eastAsia" w:ascii="宋体" w:hAnsi="宋体" w:cs="宋体"/>
          <w:b/>
          <w:color w:val="auto"/>
          <w:szCs w:val="21"/>
          <w:highlight w:val="none"/>
        </w:rPr>
        <w:t>1</w:t>
      </w:r>
      <w:r>
        <w:rPr>
          <w:rFonts w:ascii="宋体" w:hAnsi="宋体" w:cs="宋体"/>
          <w:b/>
          <w:color w:val="auto"/>
          <w:szCs w:val="21"/>
          <w:highlight w:val="none"/>
        </w:rPr>
        <w:t>8.</w:t>
      </w:r>
      <w:r>
        <w:rPr>
          <w:rFonts w:hint="eastAsia" w:ascii="宋体" w:hAnsi="宋体" w:cs="宋体"/>
          <w:b/>
          <w:color w:val="auto"/>
          <w:szCs w:val="21"/>
          <w:highlight w:val="none"/>
        </w:rPr>
        <w:t>3</w:t>
      </w:r>
      <w:r>
        <w:rPr>
          <w:rFonts w:ascii="宋体" w:hAnsi="宋体" w:cs="宋体"/>
          <w:b/>
          <w:color w:val="auto"/>
          <w:szCs w:val="21"/>
          <w:highlight w:val="none"/>
        </w:rPr>
        <w:t>.1</w:t>
      </w:r>
      <w:r>
        <w:rPr>
          <w:rFonts w:hint="eastAsia" w:ascii="宋体" w:hAnsi="宋体" w:cs="宋体"/>
          <w:b/>
          <w:color w:val="auto"/>
          <w:szCs w:val="21"/>
          <w:highlight w:val="none"/>
        </w:rPr>
        <w:t>5</w:t>
      </w:r>
      <w:r>
        <w:rPr>
          <w:rFonts w:ascii="宋体" w:hAnsi="宋体" w:cs="宋体"/>
          <w:b/>
          <w:color w:val="auto"/>
          <w:szCs w:val="21"/>
          <w:highlight w:val="none"/>
        </w:rPr>
        <w:t xml:space="preserve"> </w:t>
      </w:r>
      <w:r>
        <w:rPr>
          <w:rFonts w:hint="eastAsia" w:ascii="宋体" w:hAnsi="宋体" w:cs="宋体"/>
          <w:b/>
          <w:color w:val="auto"/>
          <w:szCs w:val="21"/>
          <w:highlight w:val="none"/>
        </w:rPr>
        <w:t>供应商的法定代表人由参与本项目的其他供应商缴纳社保的，或供应商为参与本项目的其他供应商的法定代表人缴纳社保的；</w:t>
      </w:r>
    </w:p>
    <w:bookmarkEnd w:id="2"/>
    <w:p w14:paraId="46AA09EB">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18.3.16 磋商响应文件含有采购人不能接受的附加条件的；</w:t>
      </w:r>
    </w:p>
    <w:p w14:paraId="044B66A0">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18.3.17 竞争性磋商文件明确规定无效的其他情形，或者其他被磋商小组认定无效的情况；</w:t>
      </w:r>
    </w:p>
    <w:p w14:paraId="5BACAAF7">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18.3.18 不符合法律、法规和竞争性磋商文件规定的其他实质性要求的。</w:t>
      </w:r>
    </w:p>
    <w:p w14:paraId="0A27B155">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14:paraId="2FCAB710">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18.4.1 不同供应商的磋商响应文件由同一单位或者个人编制；</w:t>
      </w:r>
    </w:p>
    <w:p w14:paraId="0EDDA899">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18.4.2 不同供应商委托同一单位或者个人办理磋商事宜；</w:t>
      </w:r>
    </w:p>
    <w:p w14:paraId="6899A981">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18.4.3 不同供应商的磋商响应文件载明的项目管理成员或者联系人员为同一人；</w:t>
      </w:r>
    </w:p>
    <w:p w14:paraId="6A08B558">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18.4.4 不同供应商的磋商响应文件异常一致或者磋商报价呈规律性差异；</w:t>
      </w:r>
    </w:p>
    <w:p w14:paraId="6B21D7FE">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18.4.5 不同供应商的磋商响应文件相互混装；</w:t>
      </w:r>
    </w:p>
    <w:p w14:paraId="0C68221D">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18.4.6 不同供应商的磋商保证金从同一单位或者个人的账户转出。</w:t>
      </w:r>
    </w:p>
    <w:p w14:paraId="11F16950">
      <w:pPr>
        <w:spacing w:line="360" w:lineRule="exact"/>
        <w:outlineLvl w:val="0"/>
        <w:rPr>
          <w:rFonts w:ascii="宋体" w:hAnsi="宋体" w:cs="宋体"/>
          <w:b/>
          <w:color w:val="auto"/>
          <w:kern w:val="0"/>
          <w:szCs w:val="21"/>
          <w:highlight w:val="none"/>
        </w:rPr>
      </w:pPr>
      <w:r>
        <w:rPr>
          <w:rFonts w:hint="eastAsia" w:ascii="宋体" w:hAnsi="宋体" w:cs="宋体"/>
          <w:b/>
          <w:color w:val="auto"/>
          <w:szCs w:val="21"/>
          <w:highlight w:val="none"/>
        </w:rPr>
        <w:t>19</w:t>
      </w:r>
      <w:r>
        <w:rPr>
          <w:rFonts w:hint="eastAsia" w:ascii="宋体" w:hAnsi="宋体" w:cs="宋体"/>
          <w:b/>
          <w:color w:val="auto"/>
          <w:kern w:val="0"/>
          <w:szCs w:val="21"/>
          <w:highlight w:val="none"/>
        </w:rPr>
        <w:t>.磋商响应文件的澄清</w:t>
      </w:r>
    </w:p>
    <w:p w14:paraId="7561CD1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 为了有助于磋商响应文件的审查、评价和比较，磋商小组可以书面方式要求供应商对磋商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44050F6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 磋商小组可要求供应商就澄清的问题作出答复，该答复经供应商代表的签字认可，将作为磋商响应文件内容的一部分。</w:t>
      </w:r>
    </w:p>
    <w:p w14:paraId="112D5AA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 供应商在进行澄清、说明、答辩或补正时，不得改变磋商的价格（校核时发现的算术错误除外）、超出竞争性磋商文件的范围及改变磋商响应文件的实质性内容。</w:t>
      </w:r>
    </w:p>
    <w:p w14:paraId="13FBB04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 磋商响应文件报价出现前后不一致的，除竞争性磋商文件另有规定外，按照下列规定修正：</w:t>
      </w:r>
    </w:p>
    <w:p w14:paraId="39A5838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19.4.1 磋商响应文件中报价一览表内容与磋商响应文件中相应内容不一致的，以报价一览表为准；</w:t>
      </w:r>
    </w:p>
    <w:p w14:paraId="1DB4C58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19.4.2 磋商响应文件的大写金额与小写金额不一致的，以大写金额为准；</w:t>
      </w:r>
    </w:p>
    <w:p w14:paraId="3B0B08A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 单价金额小数点或者百分比有明显错位的，以报价一览表的总价为准，并修改单价；</w:t>
      </w:r>
    </w:p>
    <w:p w14:paraId="3157365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 总价金额与按单价汇总金额不一致的，以单价金额计算结果为准。</w:t>
      </w:r>
    </w:p>
    <w:p w14:paraId="79CBD13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同时出现两种以上不一致的，按照前款规定的顺序修正。修正后的报价按照本竞争性磋商文件规定经供应商确认后产生约束力，供应商不确认的，其磋商无效，其磋商保证金不予退还。</w:t>
      </w:r>
      <w:r>
        <w:rPr>
          <w:rFonts w:hint="eastAsia" w:ascii="宋体" w:hAnsi="宋体" w:cs="宋体"/>
          <w:b/>
          <w:color w:val="auto"/>
          <w:szCs w:val="21"/>
          <w:highlight w:val="none"/>
        </w:rPr>
        <w:t>存在缺项漏项或者数量不符合竞争性磋商文件要求的作为无效磋商响应文件处理</w:t>
      </w:r>
      <w:r>
        <w:rPr>
          <w:rFonts w:hint="eastAsia" w:ascii="宋体" w:hAnsi="宋体" w:cs="宋体"/>
          <w:color w:val="auto"/>
          <w:szCs w:val="21"/>
          <w:highlight w:val="none"/>
        </w:rPr>
        <w:t>；对不同文字文本磋商响应文件的解释发生异议的，以中文文本为准。</w:t>
      </w:r>
    </w:p>
    <w:p w14:paraId="1B25F44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 供应商拒不按照磋商小组要求作出澄清、说明或者补正的，作为无效响应处理。</w:t>
      </w:r>
    </w:p>
    <w:p w14:paraId="1A187AB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19.6 磋商小组对磋商响应文件的判定，只依据磋商响应文件内容本身，不依靠磋商响应文件后的任何外来证明。</w:t>
      </w:r>
    </w:p>
    <w:p w14:paraId="3827B5AA">
      <w:pPr>
        <w:snapToGrid w:val="0"/>
        <w:spacing w:line="360" w:lineRule="exact"/>
        <w:outlineLvl w:val="0"/>
        <w:rPr>
          <w:rFonts w:ascii="宋体" w:hAnsi="宋体" w:cs="宋体"/>
          <w:b/>
          <w:color w:val="auto"/>
          <w:szCs w:val="21"/>
          <w:highlight w:val="none"/>
        </w:rPr>
      </w:pPr>
      <w:r>
        <w:rPr>
          <w:rFonts w:hint="eastAsia" w:ascii="宋体" w:hAnsi="宋体" w:cs="宋体"/>
          <w:b/>
          <w:color w:val="auto"/>
          <w:szCs w:val="21"/>
          <w:highlight w:val="none"/>
        </w:rPr>
        <w:t>20.磋商变动实质性内容</w:t>
      </w:r>
    </w:p>
    <w:p w14:paraId="6670FAAB">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供应商按照磋商文件的变动情况和磋商小组的要求重新提交响应文件，并由其法定代表人或授权代表签字或者加盖公章。由授权代表签字的，应当附法定代表人授权书。</w:t>
      </w:r>
    </w:p>
    <w:p w14:paraId="174D7001">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已提交响应文件的供应商，在提交最后报价前，可以根据磋商情况退出磋商，代理机构退还该供应商磋商保证金。</w:t>
      </w:r>
    </w:p>
    <w:p w14:paraId="10CE8FD6">
      <w:pPr>
        <w:spacing w:line="360" w:lineRule="exact"/>
        <w:outlineLvl w:val="0"/>
        <w:rPr>
          <w:rFonts w:ascii="宋体" w:hAnsi="宋体" w:cs="宋体"/>
          <w:b/>
          <w:color w:val="auto"/>
          <w:kern w:val="0"/>
          <w:szCs w:val="21"/>
          <w:highlight w:val="none"/>
        </w:rPr>
      </w:pPr>
      <w:r>
        <w:rPr>
          <w:rFonts w:hint="eastAsia" w:ascii="宋体" w:hAnsi="宋体" w:cs="宋体"/>
          <w:b/>
          <w:color w:val="auto"/>
          <w:kern w:val="0"/>
          <w:szCs w:val="21"/>
          <w:highlight w:val="none"/>
        </w:rPr>
        <w:t>21.</w:t>
      </w:r>
      <w:r>
        <w:rPr>
          <w:rFonts w:hint="eastAsia" w:ascii="宋体" w:hAnsi="宋体" w:cs="宋体"/>
          <w:b/>
          <w:color w:val="auto"/>
          <w:szCs w:val="21"/>
          <w:highlight w:val="none"/>
        </w:rPr>
        <w:t xml:space="preserve"> 出现下列情形之一的，终止竞争性磋商采购活动</w:t>
      </w:r>
    </w:p>
    <w:p w14:paraId="5F70C46E">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1</w:t>
      </w:r>
      <w:r>
        <w:rPr>
          <w:color w:val="auto"/>
          <w:szCs w:val="21"/>
          <w:highlight w:val="none"/>
        </w:rPr>
        <w:t>因情况变化，不再符合规定的竞争性磋商采购方式适用情形的</w:t>
      </w:r>
      <w:r>
        <w:rPr>
          <w:rFonts w:hint="eastAsia" w:ascii="宋体" w:hAnsi="宋体" w:cs="宋体"/>
          <w:color w:val="auto"/>
          <w:szCs w:val="21"/>
          <w:highlight w:val="none"/>
        </w:rPr>
        <w:t>；</w:t>
      </w:r>
    </w:p>
    <w:p w14:paraId="042C98F0">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w:t>
      </w:r>
      <w:r>
        <w:rPr>
          <w:rFonts w:ascii="宋体" w:hAnsi="宋体" w:cs="宋体"/>
          <w:color w:val="auto"/>
          <w:szCs w:val="21"/>
          <w:highlight w:val="none"/>
        </w:rPr>
        <w:t>.2</w:t>
      </w:r>
      <w:r>
        <w:rPr>
          <w:rFonts w:hint="eastAsia" w:ascii="宋体" w:hAnsi="宋体" w:cs="宋体"/>
          <w:color w:val="auto"/>
          <w:szCs w:val="21"/>
          <w:highlight w:val="none"/>
        </w:rPr>
        <w:t xml:space="preserve"> 出现影响采购公正的违法、违规行为的；</w:t>
      </w:r>
    </w:p>
    <w:p w14:paraId="3DF3F505">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3 供应商的最终报价均超过了采购预算，采购人不能支付的；</w:t>
      </w:r>
    </w:p>
    <w:p w14:paraId="530BA5BE">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4 因重大变故，采购任务取消的。</w:t>
      </w:r>
    </w:p>
    <w:p w14:paraId="00E25D91">
      <w:pPr>
        <w:spacing w:line="360" w:lineRule="exact"/>
        <w:outlineLvl w:val="0"/>
        <w:rPr>
          <w:rFonts w:ascii="宋体" w:hAnsi="宋体" w:cs="宋体"/>
          <w:color w:val="auto"/>
          <w:szCs w:val="21"/>
          <w:highlight w:val="none"/>
        </w:rPr>
      </w:pPr>
      <w:r>
        <w:rPr>
          <w:rFonts w:hint="eastAsia" w:ascii="宋体" w:hAnsi="宋体" w:cs="宋体"/>
          <w:b/>
          <w:color w:val="auto"/>
          <w:szCs w:val="21"/>
          <w:highlight w:val="none"/>
        </w:rPr>
        <w:t>22.评审方法</w:t>
      </w:r>
    </w:p>
    <w:p w14:paraId="072C3A9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22.1 </w:t>
      </w:r>
      <w:r>
        <w:rPr>
          <w:rFonts w:hint="eastAsia" w:ascii="宋体" w:hAnsi="宋体" w:cs="宋体"/>
          <w:b/>
          <w:color w:val="auto"/>
          <w:szCs w:val="21"/>
          <w:highlight w:val="none"/>
        </w:rPr>
        <w:t>本项目采用综合评分法</w:t>
      </w:r>
      <w:r>
        <w:rPr>
          <w:rFonts w:hint="eastAsia" w:ascii="宋体" w:hAnsi="宋体" w:cs="宋体"/>
          <w:color w:val="auto"/>
          <w:szCs w:val="21"/>
          <w:highlight w:val="none"/>
        </w:rPr>
        <w:t>，磋商响应文件满足磋商文件全部实质性要求且按照评审因素的量化指标（即评分细则）得分最高的供应商为成交供应商。</w:t>
      </w:r>
    </w:p>
    <w:p w14:paraId="46D0DEE4">
      <w:pPr>
        <w:spacing w:line="360" w:lineRule="exact"/>
        <w:ind w:firstLine="420"/>
        <w:rPr>
          <w:rFonts w:ascii="宋体" w:hAnsi="宋体" w:cs="宋体"/>
          <w:color w:val="auto"/>
          <w:szCs w:val="21"/>
          <w:highlight w:val="none"/>
        </w:rPr>
      </w:pPr>
      <w:r>
        <w:rPr>
          <w:rFonts w:hint="eastAsia" w:ascii="宋体" w:hAnsi="宋体" w:cs="宋体"/>
          <w:color w:val="auto"/>
          <w:kern w:val="0"/>
          <w:szCs w:val="21"/>
          <w:highlight w:val="none"/>
        </w:rPr>
        <w:t>22.2</w:t>
      </w:r>
      <w:r>
        <w:rPr>
          <w:rFonts w:hint="eastAsia" w:ascii="宋体" w:hAnsi="宋体" w:cs="宋体"/>
          <w:color w:val="auto"/>
          <w:szCs w:val="21"/>
          <w:highlight w:val="none"/>
        </w:rPr>
        <w:t xml:space="preserve"> </w:t>
      </w:r>
      <w:r>
        <w:rPr>
          <w:rFonts w:hint="eastAsia" w:ascii="宋体" w:hAnsi="宋体" w:cs="宋体"/>
          <w:b/>
          <w:color w:val="auto"/>
          <w:szCs w:val="21"/>
          <w:highlight w:val="none"/>
          <w:u w:val="single"/>
        </w:rPr>
        <w:t>采购人授权磋商小组直接确定成交供应商。</w:t>
      </w:r>
    </w:p>
    <w:p w14:paraId="5603B7F7">
      <w:pPr>
        <w:pStyle w:val="6"/>
        <w:overflowPunct w:val="0"/>
        <w:spacing w:line="360" w:lineRule="exact"/>
        <w:ind w:firstLine="0"/>
        <w:outlineLvl w:val="0"/>
        <w:rPr>
          <w:rFonts w:hAnsi="宋体" w:cs="宋体"/>
          <w:b/>
          <w:color w:val="auto"/>
          <w:sz w:val="21"/>
          <w:szCs w:val="21"/>
          <w:highlight w:val="none"/>
        </w:rPr>
      </w:pPr>
      <w:r>
        <w:rPr>
          <w:rFonts w:hint="eastAsia" w:hAnsi="宋体" w:cs="宋体"/>
          <w:b/>
          <w:color w:val="auto"/>
          <w:sz w:val="21"/>
          <w:szCs w:val="21"/>
          <w:highlight w:val="none"/>
        </w:rPr>
        <w:t>23.</w:t>
      </w:r>
      <w:r>
        <w:rPr>
          <w:rStyle w:val="36"/>
          <w:rFonts w:hint="eastAsia" w:hAnsi="宋体" w:cs="宋体"/>
          <w:color w:val="auto"/>
          <w:sz w:val="21"/>
          <w:szCs w:val="21"/>
          <w:highlight w:val="none"/>
        </w:rPr>
        <w:t>成交结果</w:t>
      </w:r>
      <w:r>
        <w:rPr>
          <w:rFonts w:hint="eastAsia" w:hAnsi="宋体" w:cs="宋体"/>
          <w:b/>
          <w:color w:val="auto"/>
          <w:sz w:val="21"/>
          <w:szCs w:val="21"/>
          <w:highlight w:val="none"/>
        </w:rPr>
        <w:t>及公示</w:t>
      </w:r>
    </w:p>
    <w:p w14:paraId="67B56CDF">
      <w:pPr>
        <w:pStyle w:val="6"/>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代理机构将成交结果在原公告媒体上予以公告。公告期限为自公告发布之日起1个工作日。</w:t>
      </w:r>
    </w:p>
    <w:p w14:paraId="361EA7AA">
      <w:pPr>
        <w:pStyle w:val="6"/>
        <w:overflowPunct w:val="0"/>
        <w:spacing w:line="360" w:lineRule="exact"/>
        <w:ind w:firstLine="0"/>
        <w:outlineLvl w:val="0"/>
        <w:rPr>
          <w:rFonts w:hAnsi="宋体" w:cs="宋体"/>
          <w:b/>
          <w:color w:val="auto"/>
          <w:sz w:val="21"/>
          <w:szCs w:val="21"/>
          <w:highlight w:val="none"/>
        </w:rPr>
      </w:pPr>
      <w:r>
        <w:rPr>
          <w:rFonts w:hint="eastAsia" w:hAnsi="宋体" w:cs="宋体"/>
          <w:b/>
          <w:color w:val="auto"/>
          <w:sz w:val="21"/>
          <w:szCs w:val="21"/>
          <w:highlight w:val="none"/>
        </w:rPr>
        <w:t>24.成交通知书</w:t>
      </w:r>
    </w:p>
    <w:p w14:paraId="5112F9E0">
      <w:pPr>
        <w:pStyle w:val="6"/>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24.1</w:t>
      </w:r>
      <w:r>
        <w:rPr>
          <w:rFonts w:hint="eastAsia" w:hAnsi="宋体" w:cs="宋体"/>
          <w:color w:val="auto"/>
          <w:szCs w:val="21"/>
          <w:highlight w:val="none"/>
        </w:rPr>
        <w:t xml:space="preserve"> </w:t>
      </w:r>
      <w:r>
        <w:rPr>
          <w:rFonts w:hint="eastAsia" w:hAnsi="宋体" w:cs="宋体"/>
          <w:color w:val="auto"/>
          <w:sz w:val="21"/>
          <w:szCs w:val="21"/>
          <w:highlight w:val="none"/>
        </w:rPr>
        <w:t>成交结果确定后，代理机构将向成交供应商发出成交通知书。</w:t>
      </w:r>
    </w:p>
    <w:p w14:paraId="6008ED66">
      <w:pPr>
        <w:pStyle w:val="6"/>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24.2</w:t>
      </w:r>
      <w:r>
        <w:rPr>
          <w:rFonts w:hint="eastAsia" w:hAnsi="宋体" w:cs="宋体"/>
          <w:color w:val="auto"/>
          <w:szCs w:val="21"/>
          <w:highlight w:val="none"/>
        </w:rPr>
        <w:t xml:space="preserve"> </w:t>
      </w:r>
      <w:r>
        <w:rPr>
          <w:rFonts w:hint="eastAsia" w:hAnsi="宋体" w:cs="宋体"/>
          <w:color w:val="auto"/>
          <w:sz w:val="21"/>
          <w:szCs w:val="21"/>
          <w:highlight w:val="none"/>
        </w:rPr>
        <w:t>成交通知书对采购人和成交供应商具有法律约束力。成交通知书发出后，采购人改变成交结果或者成交供应商放弃成交资格，均应当承担相应的法律责任，且不影响成交服务费的支付。</w:t>
      </w:r>
    </w:p>
    <w:p w14:paraId="518858E4">
      <w:pPr>
        <w:pStyle w:val="6"/>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24.3</w:t>
      </w:r>
      <w:r>
        <w:rPr>
          <w:rFonts w:hint="eastAsia" w:hAnsi="宋体" w:cs="宋体"/>
          <w:color w:val="auto"/>
          <w:szCs w:val="21"/>
          <w:highlight w:val="none"/>
        </w:rPr>
        <w:t xml:space="preserve"> </w:t>
      </w:r>
      <w:r>
        <w:rPr>
          <w:rFonts w:hint="eastAsia" w:hAnsi="宋体" w:cs="宋体"/>
          <w:color w:val="auto"/>
          <w:sz w:val="21"/>
          <w:szCs w:val="21"/>
          <w:highlight w:val="none"/>
        </w:rPr>
        <w:t>代理机构及采购人对未成交供应商不承担解释未成交原因的义务。</w:t>
      </w:r>
    </w:p>
    <w:p w14:paraId="6CEBEB74">
      <w:pPr>
        <w:spacing w:line="360" w:lineRule="exact"/>
        <w:outlineLvl w:val="0"/>
        <w:rPr>
          <w:rFonts w:ascii="宋体" w:hAnsi="宋体" w:cs="宋体"/>
          <w:b/>
          <w:color w:val="auto"/>
          <w:szCs w:val="21"/>
          <w:highlight w:val="none"/>
        </w:rPr>
      </w:pPr>
      <w:r>
        <w:rPr>
          <w:rFonts w:hint="eastAsia" w:ascii="宋体" w:hAnsi="宋体" w:cs="宋体"/>
          <w:b/>
          <w:color w:val="auto"/>
          <w:szCs w:val="21"/>
          <w:highlight w:val="none"/>
        </w:rPr>
        <w:t>25.代理机构服务费</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9"/>
        <w:gridCol w:w="3721"/>
      </w:tblGrid>
      <w:tr w14:paraId="755B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2816" w:type="pct"/>
          </w:tcPr>
          <w:p w14:paraId="5C086F31">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中标金额</w:t>
            </w:r>
          </w:p>
        </w:tc>
        <w:tc>
          <w:tcPr>
            <w:tcW w:w="2183" w:type="pct"/>
            <w:vAlign w:val="center"/>
          </w:tcPr>
          <w:p w14:paraId="64E37086">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服务费金额</w:t>
            </w:r>
          </w:p>
        </w:tc>
      </w:tr>
      <w:tr w14:paraId="22F8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51B1FC4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10万元（不含）以下</w:t>
            </w:r>
          </w:p>
        </w:tc>
        <w:tc>
          <w:tcPr>
            <w:tcW w:w="2183" w:type="pct"/>
          </w:tcPr>
          <w:p w14:paraId="3941509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w:t>
            </w:r>
            <w:r>
              <w:rPr>
                <w:rFonts w:hint="eastAsia" w:ascii="宋体" w:hAnsi="宋体" w:eastAsia="宋体" w:cs="宋体"/>
                <w:bCs/>
                <w:color w:val="auto"/>
                <w:sz w:val="21"/>
                <w:szCs w:val="21"/>
                <w:highlight w:val="none"/>
              </w:rPr>
              <w:t>元</w:t>
            </w:r>
          </w:p>
        </w:tc>
      </w:tr>
      <w:tr w14:paraId="4EDA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732FFAD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10万元（含）至20万元（不含）</w:t>
            </w:r>
          </w:p>
        </w:tc>
        <w:tc>
          <w:tcPr>
            <w:tcW w:w="2183" w:type="pct"/>
          </w:tcPr>
          <w:p w14:paraId="00B09A1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1500</w:t>
            </w:r>
            <w:r>
              <w:rPr>
                <w:rFonts w:hint="eastAsia" w:ascii="宋体" w:hAnsi="宋体" w:eastAsia="宋体" w:cs="宋体"/>
                <w:bCs/>
                <w:color w:val="auto"/>
                <w:sz w:val="21"/>
                <w:szCs w:val="21"/>
                <w:highlight w:val="none"/>
              </w:rPr>
              <w:t>元</w:t>
            </w:r>
          </w:p>
        </w:tc>
      </w:tr>
      <w:tr w14:paraId="43BE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19442C6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20万元（含）至30万元（不含）</w:t>
            </w:r>
          </w:p>
        </w:tc>
        <w:tc>
          <w:tcPr>
            <w:tcW w:w="2183" w:type="pct"/>
          </w:tcPr>
          <w:p w14:paraId="07B72D9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w:t>
            </w:r>
            <w:r>
              <w:rPr>
                <w:rFonts w:hint="eastAsia" w:ascii="宋体" w:hAnsi="宋体" w:eastAsia="宋体" w:cs="宋体"/>
                <w:bCs/>
                <w:color w:val="auto"/>
                <w:sz w:val="21"/>
                <w:szCs w:val="21"/>
                <w:highlight w:val="none"/>
              </w:rPr>
              <w:t>元</w:t>
            </w:r>
          </w:p>
        </w:tc>
      </w:tr>
    </w:tbl>
    <w:p w14:paraId="1453F614">
      <w:pPr>
        <w:spacing w:line="36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服务费按照上述标准收取并</w:t>
      </w:r>
      <w:r>
        <w:rPr>
          <w:rFonts w:ascii="宋体" w:hAnsi="宋体" w:cs="宋体"/>
          <w:b/>
          <w:color w:val="auto"/>
          <w:szCs w:val="21"/>
          <w:highlight w:val="none"/>
        </w:rPr>
        <w:t>由</w:t>
      </w:r>
      <w:r>
        <w:rPr>
          <w:rFonts w:hint="eastAsia" w:ascii="宋体" w:hAnsi="宋体" w:cs="宋体"/>
          <w:b/>
          <w:color w:val="auto"/>
          <w:szCs w:val="21"/>
          <w:highlight w:val="none"/>
          <w:lang w:val="en-US" w:eastAsia="zh-CN"/>
        </w:rPr>
        <w:t>成交供应商</w:t>
      </w:r>
      <w:r>
        <w:rPr>
          <w:rFonts w:ascii="宋体" w:hAnsi="宋体" w:cs="宋体"/>
          <w:b/>
          <w:color w:val="auto"/>
          <w:szCs w:val="21"/>
          <w:highlight w:val="none"/>
        </w:rPr>
        <w:t>承担</w:t>
      </w: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成交供应商</w:t>
      </w:r>
      <w:r>
        <w:rPr>
          <w:rFonts w:hint="eastAsia" w:ascii="宋体" w:hAnsi="宋体" w:cs="宋体"/>
          <w:b/>
          <w:color w:val="auto"/>
          <w:szCs w:val="21"/>
          <w:highlight w:val="none"/>
        </w:rPr>
        <w:t>应在领取</w:t>
      </w:r>
      <w:r>
        <w:rPr>
          <w:rFonts w:hint="eastAsia" w:ascii="宋体" w:hAnsi="宋体" w:cs="宋体"/>
          <w:b/>
          <w:color w:val="auto"/>
          <w:szCs w:val="21"/>
          <w:highlight w:val="none"/>
          <w:lang w:val="en-US" w:eastAsia="zh-CN"/>
        </w:rPr>
        <w:t>成交</w:t>
      </w:r>
      <w:r>
        <w:rPr>
          <w:rFonts w:hint="eastAsia" w:ascii="宋体" w:hAnsi="宋体" w:cs="宋体"/>
          <w:b/>
          <w:color w:val="auto"/>
          <w:szCs w:val="21"/>
          <w:highlight w:val="none"/>
        </w:rPr>
        <w:t>通知书时将代理机构服务费付至常州市城投建设工程招标有限公司账户。</w:t>
      </w:r>
    </w:p>
    <w:p w14:paraId="2DDC94FB">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收款单位：常州市城投建设工程招标有限公司</w:t>
      </w:r>
    </w:p>
    <w:p w14:paraId="16C5351C">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开户银行：中国建设银行常州大成苑支行</w:t>
      </w:r>
    </w:p>
    <w:p w14:paraId="290325B0">
      <w:pPr>
        <w:spacing w:line="360" w:lineRule="exact"/>
        <w:ind w:firstLine="420"/>
        <w:rPr>
          <w:rFonts w:ascii="宋体" w:hAnsi="宋体" w:cs="宋体"/>
          <w:color w:val="auto"/>
          <w:szCs w:val="21"/>
          <w:highlight w:val="none"/>
        </w:rPr>
      </w:pPr>
      <w:r>
        <w:rPr>
          <w:rFonts w:hint="eastAsia" w:ascii="宋体" w:hAnsi="宋体" w:cs="宋体"/>
          <w:bCs/>
          <w:color w:val="auto"/>
          <w:szCs w:val="21"/>
          <w:highlight w:val="none"/>
        </w:rPr>
        <w:t>银行账号：32001624236052500905</w:t>
      </w:r>
    </w:p>
    <w:p w14:paraId="4287184D">
      <w:pPr>
        <w:spacing w:line="360" w:lineRule="exact"/>
        <w:outlineLvl w:val="0"/>
        <w:rPr>
          <w:rFonts w:ascii="宋体" w:hAnsi="宋体" w:cs="宋体"/>
          <w:b/>
          <w:color w:val="auto"/>
          <w:szCs w:val="21"/>
          <w:highlight w:val="none"/>
        </w:rPr>
      </w:pPr>
      <w:r>
        <w:rPr>
          <w:rFonts w:hint="eastAsia" w:ascii="宋体" w:hAnsi="宋体" w:cs="宋体"/>
          <w:b/>
          <w:color w:val="auto"/>
          <w:szCs w:val="21"/>
          <w:highlight w:val="none"/>
        </w:rPr>
        <w:t>26.合同的签订</w:t>
      </w:r>
    </w:p>
    <w:p w14:paraId="53BC0DE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26.1 成交供应商应在成交通知书发出之日起三十日内与采购人签订合同，否则磋商保证金将不予退还，由此给采购人造成损失的，成交供应商还应承担赔偿责任。</w:t>
      </w:r>
    </w:p>
    <w:p w14:paraId="706D244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26.2磋商文件、成交供应商的磋商响应文件及磋商过程中有关澄清、承诺文件均应作为合同附件。</w:t>
      </w:r>
    </w:p>
    <w:p w14:paraId="2616038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26.3 签订合同后，成交供应商不得将相关服务进行转包。未经采购人同意，成交供应商也不得采用分包的形式履行合同，否则采购人有权终止合同，成交供应商的履约保证金将不予退还。转包或分包造成采购人损失的，成交供应商应承担相应赔偿责任。</w:t>
      </w:r>
    </w:p>
    <w:p w14:paraId="3592010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26.4 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w:t>
      </w:r>
      <w:r>
        <w:rPr>
          <w:rFonts w:hint="eastAsia" w:ascii="宋体" w:hAnsi="宋体" w:cs="宋体"/>
          <w:color w:val="auto"/>
          <w:szCs w:val="21"/>
          <w:highlight w:val="none"/>
          <w:shd w:val="clear" w:color="auto" w:fill="FFFFFF"/>
        </w:rPr>
        <w:t>可以按照评审报告推荐的成交候选人名单排序，确定下一候选人为成交供应商，也可以重新开展采购活动。</w:t>
      </w:r>
    </w:p>
    <w:p w14:paraId="3D3E18C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26.5 合同履行中，采购人需追加与合同标的相同的货物或服务的，在不改变合同其他条款的前提下，可以与成交供应商协商签订补充合同，但所有补充合同的采购金额不超过原合同金额10%。</w:t>
      </w:r>
    </w:p>
    <w:p w14:paraId="62BF86B9">
      <w:pPr>
        <w:spacing w:line="360" w:lineRule="exact"/>
        <w:ind w:firstLine="422" w:firstLineChars="200"/>
        <w:outlineLvl w:val="0"/>
        <w:rPr>
          <w:rFonts w:ascii="宋体" w:hAnsi="宋体" w:cs="宋体"/>
          <w:b/>
          <w:color w:val="auto"/>
          <w:szCs w:val="21"/>
          <w:highlight w:val="none"/>
        </w:rPr>
      </w:pPr>
      <w:r>
        <w:rPr>
          <w:rFonts w:hint="eastAsia" w:ascii="宋体" w:hAnsi="宋体" w:cs="宋体"/>
          <w:b/>
          <w:color w:val="auto"/>
          <w:szCs w:val="21"/>
          <w:highlight w:val="none"/>
        </w:rPr>
        <w:t>27. 诚实信用</w:t>
      </w:r>
    </w:p>
    <w:p w14:paraId="68A044B7">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若有充分证据证明，成交供应商出现下列情况之一的，一经查实，将被取消成交资格：</w:t>
      </w:r>
    </w:p>
    <w:p w14:paraId="677914B1">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27.1 提供虚假材料谋取成交的；</w:t>
      </w:r>
    </w:p>
    <w:p w14:paraId="2B1BBFF1">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27.2 向采购人、代理机构行贿或者提供其他不正当利益的。</w:t>
      </w:r>
    </w:p>
    <w:p w14:paraId="629F3AC5">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27.3 恶意竞争，磋商总报价明显低于其自身合理成本且又无法提供证明的。</w:t>
      </w:r>
    </w:p>
    <w:p w14:paraId="119E7694">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27.4 属于本文件规定的无效条件，但在评审过程中又未被磋商小组发现的。</w:t>
      </w:r>
    </w:p>
    <w:p w14:paraId="0737CB89">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27.5 与采购人或者其他供应商恶意串通的。</w:t>
      </w:r>
    </w:p>
    <w:p w14:paraId="0287E9FD">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27.6 采取不正当手段诋毁、排挤其他供应商的。</w:t>
      </w:r>
    </w:p>
    <w:p w14:paraId="332850A0">
      <w:pPr>
        <w:pStyle w:val="6"/>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27.7</w:t>
      </w:r>
      <w:r>
        <w:rPr>
          <w:rFonts w:hint="eastAsia" w:hAnsi="宋体" w:cs="宋体"/>
          <w:color w:val="auto"/>
          <w:szCs w:val="21"/>
          <w:highlight w:val="none"/>
        </w:rPr>
        <w:t xml:space="preserve"> </w:t>
      </w:r>
      <w:r>
        <w:rPr>
          <w:rFonts w:hint="eastAsia" w:hAnsi="宋体" w:cs="宋体"/>
          <w:color w:val="auto"/>
          <w:sz w:val="21"/>
          <w:szCs w:val="21"/>
          <w:highlight w:val="none"/>
        </w:rPr>
        <w:t>不符合法律、法规的规定的。</w:t>
      </w:r>
    </w:p>
    <w:p w14:paraId="2CA9C912">
      <w:pPr>
        <w:spacing w:line="360" w:lineRule="exact"/>
        <w:ind w:firstLine="420" w:firstLineChars="200"/>
        <w:rPr>
          <w:rFonts w:ascii="宋体" w:hAnsi="宋体" w:cs="宋体"/>
          <w:color w:val="auto"/>
          <w:szCs w:val="21"/>
          <w:highlight w:val="none"/>
        </w:rPr>
      </w:pPr>
    </w:p>
    <w:p w14:paraId="089371D6">
      <w:pPr>
        <w:spacing w:line="360" w:lineRule="exact"/>
        <w:ind w:firstLine="420" w:firstLineChars="200"/>
        <w:rPr>
          <w:rFonts w:ascii="宋体" w:hAnsi="宋体" w:cs="宋体"/>
          <w:color w:val="auto"/>
          <w:szCs w:val="21"/>
          <w:highlight w:val="none"/>
        </w:rPr>
        <w:sectPr>
          <w:headerReference r:id="rId5" w:type="first"/>
          <w:headerReference r:id="rId3" w:type="default"/>
          <w:footerReference r:id="rId6" w:type="default"/>
          <w:headerReference r:id="rId4" w:type="even"/>
          <w:pgSz w:w="11906" w:h="16838"/>
          <w:pgMar w:top="1440" w:right="1800" w:bottom="1440" w:left="1800" w:header="851" w:footer="992" w:gutter="0"/>
          <w:pgNumType w:start="1"/>
          <w:cols w:space="720" w:num="1"/>
          <w:docGrid w:type="lines" w:linePitch="312" w:charSpace="0"/>
        </w:sectPr>
      </w:pPr>
    </w:p>
    <w:p w14:paraId="1B82DE5C">
      <w:pPr>
        <w:pStyle w:val="3"/>
        <w:rPr>
          <w:rFonts w:ascii="宋体" w:hAnsi="宋体" w:cs="宋体"/>
          <w:color w:val="auto"/>
          <w:highlight w:val="none"/>
        </w:rPr>
      </w:pPr>
      <w:bookmarkStart w:id="3" w:name="_Toc17536324"/>
      <w:r>
        <w:rPr>
          <w:rFonts w:hint="eastAsia" w:ascii="宋体" w:hAnsi="宋体" w:cs="宋体"/>
          <w:color w:val="auto"/>
          <w:highlight w:val="none"/>
        </w:rPr>
        <w:t>第二章  采购项目及技术要求</w:t>
      </w:r>
      <w:bookmarkEnd w:id="3"/>
    </w:p>
    <w:p w14:paraId="3FDA3620">
      <w:pPr>
        <w:snapToGrid w:val="0"/>
        <w:spacing w:line="360" w:lineRule="exact"/>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一、总体服务要求</w:t>
      </w:r>
    </w:p>
    <w:p w14:paraId="34587AC5">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（一）审计服务内容</w:t>
      </w:r>
    </w:p>
    <w:p w14:paraId="7138E6A0">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跟踪审计服务</w:t>
      </w:r>
    </w:p>
    <w:p w14:paraId="324380ED">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结算审计服务</w:t>
      </w:r>
    </w:p>
    <w:p w14:paraId="088005F3">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其他交办的项目相关事项</w:t>
      </w:r>
    </w:p>
    <w:p w14:paraId="0D3AF4CF">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（二）合同履行期限</w:t>
      </w:r>
    </w:p>
    <w:p w14:paraId="6C2C88C7">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202</w:t>
      </w:r>
      <w:r>
        <w:rPr>
          <w:rFonts w:hint="eastAsia" w:ascii="宋体" w:hAnsi="宋体" w:eastAsia="宋体" w:cs="宋体"/>
          <w:color w:val="auto"/>
          <w:szCs w:val="21"/>
          <w:highlight w:val="none"/>
          <w:lang w:val="en-US" w:eastAsia="zh-CN"/>
        </w:rPr>
        <w:t>5年常州市高速、高架道路前端感知设备改造升级建设项目</w:t>
      </w:r>
      <w:r>
        <w:rPr>
          <w:rFonts w:hint="eastAsia" w:ascii="宋体" w:hAnsi="宋体" w:eastAsia="宋体" w:cs="宋体"/>
          <w:color w:val="auto"/>
          <w:szCs w:val="21"/>
          <w:highlight w:val="none"/>
        </w:rPr>
        <w:t>实施期间，直至整个项目验收合格并完成结算审计结束。</w:t>
      </w:r>
    </w:p>
    <w:p w14:paraId="7CC6D735">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（三）报告交付要求</w:t>
      </w:r>
    </w:p>
    <w:p w14:paraId="65E2AB7D">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w:t>
      </w:r>
      <w:r>
        <w:rPr>
          <w:rFonts w:hint="eastAsia" w:ascii="宋体" w:hAnsi="宋体" w:eastAsia="宋体" w:cs="宋体"/>
          <w:color w:val="auto"/>
          <w:szCs w:val="21"/>
          <w:highlight w:val="none"/>
          <w:lang w:eastAsia="zh-CN"/>
        </w:rPr>
        <w:t>202</w:t>
      </w:r>
      <w:r>
        <w:rPr>
          <w:rFonts w:hint="eastAsia" w:ascii="宋体" w:hAnsi="宋体" w:eastAsia="宋体" w:cs="宋体"/>
          <w:color w:val="auto"/>
          <w:szCs w:val="21"/>
          <w:highlight w:val="none"/>
          <w:lang w:val="en-US" w:eastAsia="zh-CN"/>
        </w:rPr>
        <w:t>5年常州市高速、高架道路前端感知设备改造升级建设项目</w:t>
      </w:r>
      <w:r>
        <w:rPr>
          <w:rFonts w:hint="eastAsia" w:ascii="宋体" w:hAnsi="宋体" w:eastAsia="宋体" w:cs="宋体"/>
          <w:color w:val="auto"/>
          <w:szCs w:val="21"/>
          <w:highlight w:val="none"/>
        </w:rPr>
        <w:t>出具</w:t>
      </w:r>
      <w:r>
        <w:rPr>
          <w:rFonts w:hint="eastAsia" w:ascii="宋体" w:hAnsi="宋体" w:eastAsia="宋体" w:cs="宋体"/>
          <w:color w:val="auto"/>
          <w:szCs w:val="21"/>
          <w:highlight w:val="none"/>
          <w:lang w:val="en-US" w:eastAsia="zh-CN"/>
        </w:rPr>
        <w:t>跟踪</w:t>
      </w:r>
      <w:r>
        <w:rPr>
          <w:rFonts w:hint="eastAsia" w:ascii="宋体" w:hAnsi="宋体" w:eastAsia="宋体" w:cs="宋体"/>
          <w:color w:val="auto"/>
          <w:szCs w:val="21"/>
          <w:highlight w:val="none"/>
        </w:rPr>
        <w:t>审计报告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结算涉及报告等</w:t>
      </w:r>
      <w:r>
        <w:rPr>
          <w:rFonts w:hint="eastAsia" w:ascii="宋体" w:hAnsi="宋体" w:eastAsia="宋体" w:cs="宋体"/>
          <w:color w:val="auto"/>
          <w:szCs w:val="21"/>
          <w:highlight w:val="none"/>
        </w:rPr>
        <w:t>。</w:t>
      </w:r>
    </w:p>
    <w:p w14:paraId="01376910">
      <w:pPr>
        <w:snapToGrid w:val="0"/>
        <w:spacing w:line="360" w:lineRule="exact"/>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二、人员要求</w:t>
      </w:r>
    </w:p>
    <w:p w14:paraId="7435C0D1">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应派出跟踪审计组，拟投入投标的项目组人员基本需求为不少于3人</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其中项目负责人1人，</w:t>
      </w:r>
      <w:r>
        <w:rPr>
          <w:rFonts w:hint="eastAsia" w:ascii="宋体" w:hAnsi="宋体" w:cs="宋体"/>
          <w:color w:val="auto"/>
          <w:szCs w:val="21"/>
          <w:highlight w:val="none"/>
          <w:lang w:val="en-US" w:eastAsia="zh-CN"/>
        </w:rPr>
        <w:t>项目组成员</w:t>
      </w:r>
      <w:r>
        <w:rPr>
          <w:rFonts w:hint="eastAsia" w:ascii="宋体" w:hAnsi="宋体" w:eastAsia="宋体" w:cs="宋体"/>
          <w:color w:val="auto"/>
          <w:szCs w:val="21"/>
          <w:highlight w:val="none"/>
        </w:rPr>
        <w:t>至少2人，由</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根据项目情况及涉及专业配备，可自行增加。</w:t>
      </w:r>
      <w:r>
        <w:rPr>
          <w:rFonts w:hint="eastAsia" w:ascii="宋体" w:hAnsi="宋体" w:eastAsia="宋体" w:cs="宋体"/>
          <w:color w:val="auto"/>
          <w:szCs w:val="21"/>
          <w:highlight w:val="none"/>
          <w:lang w:val="en-US" w:eastAsia="zh-CN"/>
        </w:rPr>
        <w:t>供应商成交</w:t>
      </w:r>
      <w:r>
        <w:rPr>
          <w:rFonts w:hint="eastAsia" w:ascii="宋体" w:hAnsi="宋体" w:eastAsia="宋体" w:cs="宋体"/>
          <w:color w:val="auto"/>
          <w:szCs w:val="21"/>
          <w:highlight w:val="none"/>
        </w:rPr>
        <w:t>后应当签订保密协议和廉政承诺。跟踪审计期间，</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派出人员应服从</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管理，相关人员原则上不得进行更换，确需更换的，应得到</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同意。</w:t>
      </w:r>
    </w:p>
    <w:p w14:paraId="361C3BD5">
      <w:pPr>
        <w:snapToGrid w:val="0"/>
        <w:spacing w:line="360" w:lineRule="exact"/>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三、跟踪审计和结算审计服务要求</w:t>
      </w:r>
    </w:p>
    <w:p w14:paraId="23E1AEE7">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符合国家标准。</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的跟踪审计服务应严格按照国家、行业、地方有关技术标准、规范、政策执行。按照相关规定提交符合格式要求的审查成果报告及档案。</w:t>
      </w:r>
    </w:p>
    <w:p w14:paraId="6A31DA66">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全过程参与。跟踪审计应覆盖</w:t>
      </w:r>
      <w:r>
        <w:rPr>
          <w:rFonts w:hint="eastAsia" w:ascii="宋体" w:hAnsi="宋体" w:eastAsia="宋体" w:cs="宋体"/>
          <w:color w:val="auto"/>
          <w:szCs w:val="21"/>
          <w:highlight w:val="none"/>
          <w:lang w:eastAsia="zh-CN"/>
        </w:rPr>
        <w:t>202</w:t>
      </w:r>
      <w:r>
        <w:rPr>
          <w:rFonts w:hint="eastAsia" w:ascii="宋体" w:hAnsi="宋体" w:eastAsia="宋体" w:cs="宋体"/>
          <w:color w:val="auto"/>
          <w:szCs w:val="21"/>
          <w:highlight w:val="none"/>
          <w:lang w:val="en-US" w:eastAsia="zh-CN"/>
        </w:rPr>
        <w:t>5年常州市高速、高架道路前端感知设备改造升级建设项目</w:t>
      </w:r>
      <w:r>
        <w:rPr>
          <w:rFonts w:hint="eastAsia" w:ascii="宋体" w:hAnsi="宋体" w:eastAsia="宋体" w:cs="宋体"/>
          <w:color w:val="auto"/>
          <w:szCs w:val="21"/>
          <w:highlight w:val="none"/>
        </w:rPr>
        <w:t>全过程，定期参加相关会议，及时赴现场清点记录，动态掌握项目实时情况。</w:t>
      </w:r>
    </w:p>
    <w:p w14:paraId="397958B7">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规范、廉政、保密。跟踪审计中，应及时发现制度机制中存在的问题和隐患，协助规范项目流程，签订廉政协议和保密协议，确保审计工作客观独立性，不发生失泄密问题。</w:t>
      </w:r>
    </w:p>
    <w:p w14:paraId="564F6B03">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资料审核和现场监督。审核施工单位提交的资料真实性、合规性，深入施工现场，对到货验收、隐蔽工程、材料设备价格等做到动态掌握。</w:t>
      </w:r>
    </w:p>
    <w:p w14:paraId="62A1E3AD">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工程量与费用核实。通过实测、对比分析等手段，验证工程量计算准确性，防止高估冒算；通过市场询价，核实材料价格、人工费、机械台班等费用的合理性与市场价一致性。</w:t>
      </w:r>
    </w:p>
    <w:p w14:paraId="4FEE1A68">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合规性审查。检查项目工程量记录，签证程序等是否符合规定，审核财务资金使用、成本核算及交付资产的合规性。</w:t>
      </w:r>
    </w:p>
    <w:p w14:paraId="3514343F">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质量保障。对虚报行为及时上报，提供技术支持纠正错误，审计误差率应在符合标准，确保结果客观公正。</w:t>
      </w:r>
    </w:p>
    <w:p w14:paraId="41B400FC">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动态控制和风险预警。根据总体资金安排，制定资金支付跟踪控制目标，防止超付或欠付，对项目实施中发现的异常情况，做到及时发现，提出优化建议，防范风险。</w:t>
      </w:r>
    </w:p>
    <w:p w14:paraId="7E4911EB">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成果管理。建立跟踪审计台账，记录审计时间、问题及整改情况，留存各项支出的明细清单、审核底稿和证明材料，及时更新支出汇总表格，根据需要出具跟踪审计意见书。</w:t>
      </w:r>
    </w:p>
    <w:p w14:paraId="361A0261">
      <w:pPr>
        <w:snapToGrid w:val="0"/>
        <w:spacing w:line="360" w:lineRule="exact"/>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四、年度审计报告要求</w:t>
      </w:r>
    </w:p>
    <w:p w14:paraId="2967FFA4">
      <w:pPr>
        <w:snapToGrid w:val="0"/>
        <w:spacing w:line="3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应符合国家标准。</w:t>
      </w:r>
    </w:p>
    <w:p w14:paraId="669B8AFC">
      <w:pPr>
        <w:snapToGrid w:val="0"/>
        <w:spacing w:line="360" w:lineRule="exact"/>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五、其他要求</w:t>
      </w:r>
    </w:p>
    <w:p w14:paraId="5281208C">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跟踪审计单位应保持通讯畅通，随叫随到。</w:t>
      </w:r>
    </w:p>
    <w:p w14:paraId="3FA3CFE2">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跟踪审计单位应根据项目需求，安排专人配合现场验收、检查，参加各类例会。</w:t>
      </w:r>
    </w:p>
    <w:p w14:paraId="6F38DE2E">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成交</w:t>
      </w:r>
      <w:r>
        <w:rPr>
          <w:rFonts w:hint="eastAsia" w:ascii="宋体" w:hAnsi="宋体" w:eastAsia="宋体" w:cs="宋体"/>
          <w:color w:val="auto"/>
          <w:szCs w:val="21"/>
          <w:highlight w:val="none"/>
        </w:rPr>
        <w:t>后不得将业务转包给其他单位或个人。</w:t>
      </w:r>
    </w:p>
    <w:p w14:paraId="76C9A7AF">
      <w:pPr>
        <w:snapToGrid w:val="0"/>
        <w:spacing w:line="360" w:lineRule="exact"/>
        <w:ind w:firstLine="420" w:firstLineChars="200"/>
        <w:rPr>
          <w:rFonts w:ascii="宋体" w:hAnsi="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因</w:t>
      </w:r>
      <w:r>
        <w:rPr>
          <w:rFonts w:hint="eastAsia" w:ascii="宋体" w:hAnsi="宋体" w:eastAsia="宋体" w:cs="宋体"/>
          <w:color w:val="auto"/>
          <w:szCs w:val="21"/>
          <w:highlight w:val="none"/>
          <w:lang w:val="en-US" w:eastAsia="zh-CN"/>
        </w:rPr>
        <w:t>成交供应商</w:t>
      </w:r>
      <w:r>
        <w:rPr>
          <w:rFonts w:hint="eastAsia" w:ascii="宋体" w:hAnsi="宋体" w:eastAsia="宋体" w:cs="宋体"/>
          <w:color w:val="auto"/>
          <w:szCs w:val="21"/>
          <w:highlight w:val="none"/>
        </w:rPr>
        <w:t>原因，未按要求提供审计服务，或者各类审计报告未按时提交，未造成后果的，发生一次扣罚500元；对采购人工作产生实际影响的，发生一次视情扣罚1000至2000元。发生5次以上的，或者造成实际影响3次以上的，采购人有权解除合同并追究责任。</w:t>
      </w:r>
    </w:p>
    <w:p w14:paraId="3C556C8C">
      <w:pPr>
        <w:snapToGrid w:val="0"/>
        <w:spacing w:line="360" w:lineRule="exact"/>
        <w:ind w:firstLine="422" w:firstLineChars="200"/>
        <w:rPr>
          <w:rFonts w:hint="eastAsia" w:ascii="宋体" w:hAnsi="宋体" w:eastAsia="宋体" w:cs="宋体"/>
          <w:color w:val="auto"/>
          <w:szCs w:val="21"/>
          <w:highlight w:val="none"/>
        </w:rPr>
      </w:pPr>
      <w:bookmarkStart w:id="4" w:name="_Toc17536325"/>
      <w:r>
        <w:rPr>
          <w:rFonts w:hint="eastAsia" w:ascii="宋体" w:hAnsi="宋体" w:eastAsia="宋体" w:cs="宋体"/>
          <w:b/>
          <w:bCs/>
          <w:color w:val="auto"/>
          <w:szCs w:val="21"/>
          <w:highlight w:val="none"/>
          <w:lang w:val="en-US" w:eastAsia="zh-CN"/>
        </w:rPr>
        <w:t>六、</w:t>
      </w:r>
      <w:r>
        <w:rPr>
          <w:rFonts w:hint="eastAsia" w:ascii="宋体" w:hAnsi="宋体" w:eastAsia="宋体" w:cs="宋体"/>
          <w:b/>
          <w:bCs/>
          <w:color w:val="auto"/>
          <w:szCs w:val="21"/>
          <w:highlight w:val="none"/>
        </w:rPr>
        <w:t>报价方式</w:t>
      </w:r>
    </w:p>
    <w:p w14:paraId="549B6815">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报价为</w:t>
      </w:r>
      <w:r>
        <w:rPr>
          <w:rFonts w:hint="eastAsia" w:ascii="宋体" w:hAnsi="宋体" w:eastAsia="宋体" w:cs="宋体"/>
          <w:b/>
          <w:bCs/>
          <w:color w:val="auto"/>
          <w:szCs w:val="21"/>
          <w:highlight w:val="none"/>
          <w:u w:val="single"/>
        </w:rPr>
        <w:t>固定</w:t>
      </w:r>
      <w:r>
        <w:rPr>
          <w:rFonts w:hint="eastAsia" w:ascii="宋体" w:hAnsi="宋体" w:eastAsia="宋体" w:cs="宋体"/>
          <w:b/>
          <w:bCs/>
          <w:color w:val="auto"/>
          <w:szCs w:val="21"/>
          <w:highlight w:val="none"/>
          <w:u w:val="single"/>
          <w:lang w:val="en-US" w:eastAsia="zh-CN"/>
        </w:rPr>
        <w:t>总</w:t>
      </w:r>
      <w:r>
        <w:rPr>
          <w:rFonts w:hint="eastAsia" w:ascii="宋体" w:hAnsi="宋体" w:eastAsia="宋体" w:cs="宋体"/>
          <w:b/>
          <w:bCs/>
          <w:color w:val="auto"/>
          <w:szCs w:val="21"/>
          <w:highlight w:val="none"/>
          <w:u w:val="single"/>
        </w:rPr>
        <w:t>价</w:t>
      </w:r>
      <w:r>
        <w:rPr>
          <w:rFonts w:hint="eastAsia" w:ascii="宋体" w:hAnsi="宋体" w:eastAsia="宋体" w:cs="宋体"/>
          <w:color w:val="auto"/>
          <w:szCs w:val="21"/>
          <w:highlight w:val="none"/>
        </w:rPr>
        <w:t>，磋商报价包括竞争性磋商文件所确定的采购范围相应服务的提供、人员（包括工资和补贴）、办公场所及设施、代理机构服务费、保险、劳保、管理、各种税费、利润、税金、政策性文件规定及合同包含的所有风险、责任等各项应有费用，以及为完成该项服务项目所涉及到的一切相关费用，采购人不再支付其他任何费用。</w:t>
      </w:r>
    </w:p>
    <w:p w14:paraId="77DB9A35">
      <w:pPr>
        <w:snapToGrid w:val="0"/>
        <w:spacing w:line="360" w:lineRule="exact"/>
        <w:ind w:firstLine="422" w:firstLineChars="200"/>
        <w:rPr>
          <w:rFonts w:hint="eastAsia" w:ascii="宋体" w:hAnsi="宋体" w:cs="宋体"/>
          <w:color w:val="auto"/>
          <w:highlight w:val="none"/>
        </w:rPr>
      </w:pPr>
      <w:r>
        <w:rPr>
          <w:rFonts w:hint="eastAsia" w:ascii="宋体" w:hAnsi="宋体" w:cs="宋体"/>
          <w:b/>
          <w:bCs/>
          <w:color w:val="auto"/>
          <w:highlight w:val="none"/>
        </w:rPr>
        <w:t>七、付款方式</w:t>
      </w:r>
    </w:p>
    <w:p w14:paraId="4B386E84">
      <w:pPr>
        <w:snapToGrid w:val="0"/>
        <w:spacing w:line="360" w:lineRule="exact"/>
        <w:ind w:firstLine="420" w:firstLineChars="200"/>
        <w:rPr>
          <w:rFonts w:ascii="宋体" w:hAnsi="宋体" w:cs="宋体"/>
          <w:color w:val="auto"/>
          <w:highlight w:val="none"/>
        </w:rPr>
      </w:pPr>
      <w:r>
        <w:rPr>
          <w:rFonts w:hint="eastAsia" w:ascii="宋体" w:hAnsi="宋体" w:cs="宋体"/>
          <w:color w:val="auto"/>
          <w:highlight w:val="none"/>
        </w:rPr>
        <w:t>合同签订后，支付合同金额的50%；服务期结束，完成所有审计服务内容并交付审计报告后，支付剩余款项。</w:t>
      </w:r>
      <w:r>
        <w:rPr>
          <w:rFonts w:hint="eastAsia" w:ascii="宋体" w:hAnsi="宋体" w:cs="宋体"/>
          <w:color w:val="auto"/>
          <w:highlight w:val="none"/>
        </w:rPr>
        <w:br w:type="page"/>
      </w:r>
    </w:p>
    <w:p w14:paraId="4E08DCF9">
      <w:pPr>
        <w:pStyle w:val="3"/>
        <w:numPr>
          <w:ilvl w:val="0"/>
          <w:numId w:val="1"/>
        </w:numPr>
        <w:rPr>
          <w:rFonts w:ascii="宋体" w:hAnsi="宋体" w:cs="宋体"/>
          <w:color w:val="auto"/>
          <w:highlight w:val="none"/>
        </w:rPr>
      </w:pPr>
      <w:r>
        <w:rPr>
          <w:rFonts w:hint="eastAsia" w:ascii="宋体" w:hAnsi="宋体" w:cs="宋体"/>
          <w:color w:val="auto"/>
          <w:highlight w:val="none"/>
        </w:rPr>
        <w:t xml:space="preserve"> 合同主要条款</w:t>
      </w:r>
      <w:bookmarkEnd w:id="4"/>
    </w:p>
    <w:p w14:paraId="3032926D">
      <w:pPr>
        <w:pStyle w:val="13"/>
        <w:spacing w:line="400" w:lineRule="exact"/>
        <w:rPr>
          <w:rFonts w:eastAsia="宋体" w:cs="宋体"/>
          <w:color w:val="auto"/>
          <w:sz w:val="21"/>
          <w:szCs w:val="21"/>
          <w:highlight w:val="none"/>
        </w:rPr>
      </w:pPr>
      <w:r>
        <w:rPr>
          <w:rFonts w:hint="eastAsia" w:eastAsia="宋体" w:cs="宋体"/>
          <w:b/>
          <w:color w:val="auto"/>
          <w:sz w:val="21"/>
          <w:szCs w:val="21"/>
          <w:highlight w:val="none"/>
          <w:lang w:val="zh-CN"/>
        </w:rPr>
        <w:t>采购人（以下称甲</w:t>
      </w:r>
      <w:r>
        <w:rPr>
          <w:rFonts w:hint="eastAsia" w:eastAsia="宋体" w:cs="宋体"/>
          <w:b/>
          <w:color w:val="auto"/>
          <w:sz w:val="21"/>
          <w:szCs w:val="21"/>
          <w:highlight w:val="none"/>
        </w:rPr>
        <w:t xml:space="preserve">方）:                       </w:t>
      </w:r>
      <w:r>
        <w:rPr>
          <w:rFonts w:hint="eastAsia" w:eastAsia="宋体" w:cs="宋体"/>
          <w:color w:val="auto"/>
          <w:sz w:val="21"/>
          <w:szCs w:val="21"/>
          <w:highlight w:val="none"/>
        </w:rPr>
        <w:t>合同编号：</w:t>
      </w:r>
    </w:p>
    <w:p w14:paraId="54ADB222">
      <w:pPr>
        <w:pStyle w:val="13"/>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hint="eastAsia" w:eastAsia="宋体" w:cs="宋体"/>
          <w:b/>
          <w:color w:val="auto"/>
          <w:sz w:val="21"/>
          <w:szCs w:val="21"/>
          <w:highlight w:val="none"/>
          <w:lang w:val="zh-CN"/>
        </w:rPr>
        <w:t>以下称</w:t>
      </w:r>
      <w:r>
        <w:rPr>
          <w:rFonts w:hint="eastAsia" w:eastAsia="宋体" w:cs="宋体"/>
          <w:b/>
          <w:color w:val="auto"/>
          <w:sz w:val="21"/>
          <w:szCs w:val="21"/>
          <w:highlight w:val="none"/>
        </w:rPr>
        <w:t xml:space="preserve">乙方）:                       </w:t>
      </w:r>
      <w:r>
        <w:rPr>
          <w:rFonts w:hint="eastAsia" w:eastAsia="宋体" w:cs="宋体"/>
          <w:color w:val="auto"/>
          <w:sz w:val="21"/>
          <w:szCs w:val="21"/>
          <w:highlight w:val="none"/>
        </w:rPr>
        <w:t>签订地点：</w:t>
      </w:r>
    </w:p>
    <w:p w14:paraId="3E1C30DB">
      <w:pPr>
        <w:pStyle w:val="6"/>
        <w:spacing w:line="400" w:lineRule="exact"/>
        <w:ind w:firstLine="4620" w:firstLineChars="2200"/>
        <w:rPr>
          <w:rFonts w:hAnsi="宋体" w:cs="宋体"/>
          <w:b/>
          <w:color w:val="auto"/>
          <w:sz w:val="21"/>
          <w:szCs w:val="21"/>
          <w:highlight w:val="none"/>
        </w:rPr>
      </w:pPr>
      <w:r>
        <w:rPr>
          <w:rFonts w:hint="eastAsia" w:hAnsi="宋体" w:cs="宋体"/>
          <w:color w:val="auto"/>
          <w:sz w:val="21"/>
          <w:szCs w:val="21"/>
          <w:highlight w:val="none"/>
        </w:rPr>
        <w:t xml:space="preserve">合同时间: </w:t>
      </w:r>
      <w:r>
        <w:rPr>
          <w:rFonts w:hint="eastAsia" w:hAnsi="宋体" w:cs="宋体"/>
          <w:color w:val="auto"/>
          <w:sz w:val="21"/>
          <w:szCs w:val="21"/>
          <w:highlight w:val="none"/>
          <w:u w:val="single"/>
        </w:rPr>
        <w:t xml:space="preserve">    年   月   日</w:t>
      </w:r>
    </w:p>
    <w:p w14:paraId="336F0828">
      <w:pPr>
        <w:pStyle w:val="13"/>
        <w:spacing w:line="360" w:lineRule="exact"/>
        <w:ind w:firstLine="424" w:firstLineChars="202"/>
        <w:rPr>
          <w:rFonts w:eastAsia="宋体" w:cs="宋体"/>
          <w:color w:val="auto"/>
          <w:sz w:val="21"/>
          <w:szCs w:val="21"/>
          <w:highlight w:val="none"/>
        </w:rPr>
      </w:pPr>
      <w:r>
        <w:rPr>
          <w:rFonts w:hint="eastAsia" w:eastAsia="宋体" w:cs="宋体"/>
          <w:color w:val="auto"/>
          <w:sz w:val="21"/>
          <w:szCs w:val="21"/>
          <w:highlight w:val="none"/>
        </w:rPr>
        <w:t>甲乙双方依据《中华人民共和国民法典》以及有关法律、法规的规定，经协商一致，订立本合同，以便共同遵守。</w:t>
      </w:r>
    </w:p>
    <w:p w14:paraId="6AC63F55">
      <w:pPr>
        <w:pStyle w:val="13"/>
        <w:spacing w:line="360" w:lineRule="exact"/>
        <w:ind w:firstLine="426" w:firstLineChars="202"/>
        <w:rPr>
          <w:rFonts w:eastAsia="宋体" w:cs="宋体"/>
          <w:b/>
          <w:color w:val="auto"/>
          <w:sz w:val="21"/>
          <w:szCs w:val="21"/>
          <w:highlight w:val="none"/>
        </w:rPr>
      </w:pPr>
      <w:r>
        <w:rPr>
          <w:rFonts w:hint="eastAsia" w:eastAsia="宋体" w:cs="宋体"/>
          <w:b/>
          <w:color w:val="auto"/>
          <w:sz w:val="21"/>
          <w:szCs w:val="21"/>
          <w:highlight w:val="none"/>
        </w:rPr>
        <w:t>第一条 合同标的</w:t>
      </w:r>
    </w:p>
    <w:p w14:paraId="0456FEDF">
      <w:pPr>
        <w:widowControl/>
        <w:adjustRightInd w:val="0"/>
        <w:spacing w:line="360" w:lineRule="exact"/>
        <w:ind w:firstLine="424" w:firstLineChars="202"/>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乙方根据甲方需求提供下列服务：         ，</w:t>
      </w:r>
      <w:r>
        <w:rPr>
          <w:rFonts w:hint="eastAsia" w:ascii="宋体" w:hAnsi="宋体" w:cs="宋体"/>
          <w:color w:val="auto"/>
          <w:szCs w:val="21"/>
          <w:highlight w:val="none"/>
        </w:rPr>
        <w:t>系指根据合同规定乙方须承担与服务有关的所有辅助服务</w:t>
      </w:r>
      <w:r>
        <w:rPr>
          <w:rFonts w:hint="eastAsia" w:ascii="宋体" w:hAnsi="宋体" w:cs="宋体"/>
          <w:color w:val="auto"/>
          <w:kern w:val="0"/>
          <w:szCs w:val="21"/>
          <w:highlight w:val="none"/>
          <w:lang w:val="zh-CN"/>
        </w:rPr>
        <w:t>。</w:t>
      </w:r>
    </w:p>
    <w:p w14:paraId="10D8DB09">
      <w:pPr>
        <w:pStyle w:val="13"/>
        <w:spacing w:line="360" w:lineRule="exact"/>
        <w:ind w:firstLine="426" w:firstLineChars="202"/>
        <w:rPr>
          <w:rFonts w:eastAsia="宋体" w:cs="宋体"/>
          <w:b/>
          <w:color w:val="auto"/>
          <w:sz w:val="21"/>
          <w:szCs w:val="21"/>
          <w:highlight w:val="none"/>
        </w:rPr>
      </w:pPr>
      <w:r>
        <w:rPr>
          <w:rFonts w:hint="eastAsia" w:eastAsia="宋体" w:cs="宋体"/>
          <w:b/>
          <w:color w:val="auto"/>
          <w:sz w:val="21"/>
          <w:szCs w:val="21"/>
          <w:highlight w:val="none"/>
        </w:rPr>
        <w:t>第二条 合同价格</w:t>
      </w:r>
    </w:p>
    <w:p w14:paraId="6E5D60ED">
      <w:pPr>
        <w:pStyle w:val="13"/>
        <w:spacing w:line="360" w:lineRule="exact"/>
        <w:ind w:firstLine="426" w:firstLineChars="202"/>
        <w:jc w:val="left"/>
        <w:rPr>
          <w:rFonts w:eastAsia="宋体" w:cs="宋体"/>
          <w:b/>
          <w:color w:val="auto"/>
          <w:sz w:val="21"/>
          <w:szCs w:val="21"/>
          <w:highlight w:val="none"/>
        </w:rPr>
      </w:pPr>
      <w:r>
        <w:rPr>
          <w:rFonts w:hint="eastAsia" w:eastAsia="宋体" w:cs="宋体"/>
          <w:b/>
          <w:color w:val="auto"/>
          <w:sz w:val="21"/>
          <w:szCs w:val="21"/>
          <w:highlight w:val="none"/>
        </w:rPr>
        <w:t>签约合同总价（人民币，下同）：</w:t>
      </w:r>
      <w:r>
        <w:rPr>
          <w:rFonts w:hint="eastAsia" w:eastAsia="宋体" w:cs="宋体"/>
          <w:b/>
          <w:color w:val="auto"/>
          <w:sz w:val="21"/>
          <w:szCs w:val="21"/>
          <w:highlight w:val="none"/>
          <w:u w:val="single"/>
        </w:rPr>
        <w:t xml:space="preserve">             元</w:t>
      </w:r>
      <w:r>
        <w:rPr>
          <w:rFonts w:hint="eastAsia" w:eastAsia="宋体" w:cs="宋体"/>
          <w:b/>
          <w:color w:val="auto"/>
          <w:sz w:val="21"/>
          <w:szCs w:val="21"/>
          <w:highlight w:val="none"/>
        </w:rPr>
        <w:t xml:space="preserve">（小写       ）。 </w:t>
      </w:r>
    </w:p>
    <w:p w14:paraId="07BD3F75">
      <w:pPr>
        <w:pStyle w:val="13"/>
        <w:spacing w:line="360" w:lineRule="exact"/>
        <w:ind w:firstLine="424" w:firstLineChars="202"/>
        <w:rPr>
          <w:rFonts w:eastAsia="宋体" w:cs="宋体"/>
          <w:color w:val="auto"/>
          <w:sz w:val="21"/>
          <w:szCs w:val="21"/>
          <w:highlight w:val="none"/>
        </w:rPr>
      </w:pPr>
      <w:r>
        <w:rPr>
          <w:rFonts w:hint="eastAsia" w:eastAsia="宋体" w:cs="宋体"/>
          <w:color w:val="auto"/>
          <w:sz w:val="21"/>
          <w:szCs w:val="21"/>
          <w:highlight w:val="none"/>
        </w:rPr>
        <w:t>本合同总价包括磋商文件所确定的采购范围相应服务的提供、人员（包括工资和补贴）、办公场所及设施、</w:t>
      </w:r>
      <w:r>
        <w:rPr>
          <w:rFonts w:hint="eastAsia" w:cs="宋体"/>
          <w:color w:val="auto"/>
          <w:sz w:val="21"/>
          <w:szCs w:val="21"/>
          <w:highlight w:val="none"/>
        </w:rPr>
        <w:t>代理机构服务费、</w:t>
      </w:r>
      <w:r>
        <w:rPr>
          <w:rFonts w:hint="eastAsia" w:eastAsia="宋体" w:cs="宋体"/>
          <w:color w:val="auto"/>
          <w:sz w:val="21"/>
          <w:szCs w:val="21"/>
          <w:highlight w:val="none"/>
        </w:rPr>
        <w:t>保险、劳保、管理、各种税费、利润、税金、政策性文件规定及合同包含的所有风险、责任等各项应有费用，以及为完成该项服务项目所涉及到的一切相关费用，采购人不再支付其他任何费用。</w:t>
      </w:r>
    </w:p>
    <w:p w14:paraId="60C8D7C0">
      <w:pPr>
        <w:pStyle w:val="13"/>
        <w:spacing w:line="360" w:lineRule="exact"/>
        <w:ind w:firstLine="424" w:firstLineChars="202"/>
        <w:rPr>
          <w:rFonts w:eastAsia="宋体" w:cs="宋体"/>
          <w:color w:val="auto"/>
          <w:sz w:val="21"/>
          <w:szCs w:val="21"/>
          <w:highlight w:val="none"/>
        </w:rPr>
      </w:pPr>
      <w:r>
        <w:rPr>
          <w:rFonts w:hint="eastAsia" w:eastAsia="宋体" w:cs="宋体"/>
          <w:color w:val="auto"/>
          <w:sz w:val="21"/>
          <w:szCs w:val="21"/>
          <w:highlight w:val="none"/>
        </w:rPr>
        <w:t>本合同总价款还包含乙方应当提供的伴随服务/售后服务费用。</w:t>
      </w:r>
    </w:p>
    <w:p w14:paraId="6BA0DEF6">
      <w:pPr>
        <w:pStyle w:val="13"/>
        <w:spacing w:line="360" w:lineRule="exact"/>
        <w:ind w:firstLine="426" w:firstLineChars="202"/>
        <w:rPr>
          <w:rFonts w:eastAsia="宋体" w:cs="宋体"/>
          <w:b/>
          <w:color w:val="auto"/>
          <w:sz w:val="21"/>
          <w:szCs w:val="21"/>
          <w:highlight w:val="none"/>
        </w:rPr>
      </w:pPr>
      <w:r>
        <w:rPr>
          <w:rFonts w:hint="eastAsia" w:eastAsia="宋体" w:cs="宋体"/>
          <w:b/>
          <w:color w:val="auto"/>
          <w:sz w:val="21"/>
          <w:szCs w:val="21"/>
          <w:highlight w:val="none"/>
        </w:rPr>
        <w:t>第三条 组成本合同的有关文件</w:t>
      </w:r>
    </w:p>
    <w:p w14:paraId="7CD3358D">
      <w:pPr>
        <w:pStyle w:val="13"/>
        <w:spacing w:line="360" w:lineRule="exact"/>
        <w:ind w:firstLine="424" w:firstLineChars="202"/>
        <w:rPr>
          <w:rFonts w:eastAsia="宋体" w:cs="宋体"/>
          <w:color w:val="auto"/>
          <w:sz w:val="21"/>
          <w:szCs w:val="21"/>
          <w:highlight w:val="none"/>
        </w:rPr>
      </w:pPr>
      <w:r>
        <w:rPr>
          <w:rFonts w:hint="eastAsia" w:eastAsia="宋体" w:cs="宋体"/>
          <w:color w:val="auto"/>
          <w:sz w:val="21"/>
          <w:szCs w:val="21"/>
          <w:highlight w:val="none"/>
        </w:rPr>
        <w:t>下列与本次采购活动有关的文件及有关附件是本合同不可分割的组成部分，与本合同具有同等法律效力，这些文件包括但不限于：</w:t>
      </w:r>
    </w:p>
    <w:p w14:paraId="69E45241">
      <w:pPr>
        <w:pStyle w:val="13"/>
        <w:spacing w:line="360" w:lineRule="exact"/>
        <w:ind w:firstLine="424" w:firstLineChars="202"/>
        <w:rPr>
          <w:rFonts w:eastAsia="宋体" w:cs="宋体"/>
          <w:color w:val="auto"/>
          <w:sz w:val="21"/>
          <w:szCs w:val="21"/>
          <w:highlight w:val="none"/>
        </w:rPr>
      </w:pPr>
      <w:r>
        <w:rPr>
          <w:rFonts w:hint="eastAsia" w:eastAsia="宋体" w:cs="宋体"/>
          <w:color w:val="auto"/>
          <w:sz w:val="21"/>
          <w:szCs w:val="21"/>
          <w:highlight w:val="none"/>
        </w:rPr>
        <w:t xml:space="preserve">（1）竞争性磋商文件（编号：   ）          （2）乙方提供的磋商响应文件； </w:t>
      </w:r>
    </w:p>
    <w:p w14:paraId="5FDC5641">
      <w:pPr>
        <w:pStyle w:val="13"/>
        <w:spacing w:line="360" w:lineRule="exact"/>
        <w:ind w:firstLine="424" w:firstLineChars="202"/>
        <w:rPr>
          <w:rFonts w:eastAsia="宋体" w:cs="宋体"/>
          <w:color w:val="auto"/>
          <w:sz w:val="21"/>
          <w:szCs w:val="21"/>
          <w:highlight w:val="none"/>
        </w:rPr>
      </w:pPr>
      <w:r>
        <w:rPr>
          <w:rFonts w:hint="eastAsia" w:eastAsia="宋体" w:cs="宋体"/>
          <w:color w:val="auto"/>
          <w:sz w:val="21"/>
          <w:szCs w:val="21"/>
          <w:highlight w:val="none"/>
        </w:rPr>
        <w:t>（3）成交通知书；                         （4）甲乙双方商定的其他文件等。</w:t>
      </w:r>
    </w:p>
    <w:p w14:paraId="69612F1A">
      <w:pPr>
        <w:adjustRightInd w:val="0"/>
        <w:snapToGrid w:val="0"/>
        <w:spacing w:line="360" w:lineRule="exact"/>
        <w:ind w:firstLine="424" w:firstLineChars="201"/>
        <w:outlineLvl w:val="0"/>
        <w:rPr>
          <w:rFonts w:ascii="宋体" w:hAnsi="宋体" w:cs="宋体"/>
          <w:b/>
          <w:color w:val="auto"/>
          <w:szCs w:val="21"/>
          <w:highlight w:val="none"/>
        </w:rPr>
      </w:pPr>
      <w:r>
        <w:rPr>
          <w:rFonts w:hint="eastAsia" w:ascii="宋体" w:hAnsi="宋体" w:cs="宋体"/>
          <w:b/>
          <w:color w:val="auto"/>
          <w:szCs w:val="21"/>
          <w:highlight w:val="none"/>
        </w:rPr>
        <w:t>第四条 履约保证金</w:t>
      </w:r>
    </w:p>
    <w:p w14:paraId="5E5FE8CC">
      <w:pPr>
        <w:adjustRightInd w:val="0"/>
        <w:snapToGrid w:val="0"/>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1.乙方应按竞争性磋商文件的约定提供相应的履约保证金。</w:t>
      </w:r>
    </w:p>
    <w:p w14:paraId="13ADE16F">
      <w:pPr>
        <w:adjustRightInd w:val="0"/>
        <w:snapToGrid w:val="0"/>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2.如乙方未能履行合同规定的义务，甲方有权从履约保证金直接扣取。</w:t>
      </w:r>
    </w:p>
    <w:p w14:paraId="74A4A043">
      <w:pPr>
        <w:adjustRightInd w:val="0"/>
        <w:snapToGrid w:val="0"/>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3.履约保证金待合同全部履行完毕后全额无息退回。</w:t>
      </w:r>
    </w:p>
    <w:p w14:paraId="1C68F6ED">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第五条 合同款结算及支付</w:t>
      </w:r>
    </w:p>
    <w:p w14:paraId="7DA10ACB">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1.本合同项下所有款项均以人民币支付。</w:t>
      </w:r>
    </w:p>
    <w:p w14:paraId="1BCB8560">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2.本合同项下的采购资金由甲方自行支付，乙方向甲方开具发票。</w:t>
      </w:r>
    </w:p>
    <w:p w14:paraId="425D45A0">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3.结算原则：</w:t>
      </w:r>
      <w:r>
        <w:rPr>
          <w:rFonts w:hint="eastAsia" w:ascii="宋体" w:hAnsi="宋体" w:cs="宋体"/>
          <w:color w:val="auto"/>
          <w:szCs w:val="21"/>
          <w:highlight w:val="none"/>
          <w:lang w:val="en-US" w:eastAsia="zh-CN"/>
        </w:rPr>
        <w:t>固定总价</w:t>
      </w:r>
      <w:r>
        <w:rPr>
          <w:rFonts w:hint="eastAsia" w:ascii="宋体" w:hAnsi="宋体" w:cs="宋体"/>
          <w:color w:val="auto"/>
          <w:szCs w:val="21"/>
          <w:highlight w:val="none"/>
        </w:rPr>
        <w:t>。</w:t>
      </w:r>
    </w:p>
    <w:p w14:paraId="3FAB6BFF">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4.付款方式：合同签订后，支付合同金额的50%；服务期结束，完成所有审计服务内容并交付审计报告后，支付剩余款项。</w:t>
      </w:r>
    </w:p>
    <w:p w14:paraId="46290A8C">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第六条 违约责任</w:t>
      </w:r>
    </w:p>
    <w:p w14:paraId="7B3E3C72">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1.如乙方不能</w:t>
      </w:r>
      <w:r>
        <w:rPr>
          <w:rFonts w:hint="eastAsia" w:ascii="宋体" w:hAnsi="宋体" w:cs="宋体"/>
          <w:color w:val="auto"/>
          <w:szCs w:val="21"/>
          <w:highlight w:val="none"/>
        </w:rPr>
        <w:t>按约定进行服务的，</w:t>
      </w:r>
      <w:r>
        <w:rPr>
          <w:rFonts w:hint="eastAsia" w:ascii="宋体" w:hAnsi="宋体" w:cs="宋体"/>
          <w:color w:val="auto"/>
          <w:highlight w:val="none"/>
        </w:rPr>
        <w:t>甲方有权解除合同，乙方交纳的全部履约保证金不予退还，同时有权要求乙方按照合同总价5%的标准支付违约金，解除合同的通知自发出之日生效。</w:t>
      </w:r>
    </w:p>
    <w:p w14:paraId="65919D07">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2.甲方未按合同规定的期限向乙方支付货款的，每逾期1天甲方向乙方偿付欠款总额的5‰滞纳金，但累计滞纳金总额不超过欠款总额的5%。</w:t>
      </w:r>
    </w:p>
    <w:p w14:paraId="606F1B22">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3.乙方未按本合同规定向甲方交付履约保证金的，甲方有权拒绝签订本合同，同时乙方应按应交付履约保证金的100%向甲方支付违约金。</w:t>
      </w:r>
    </w:p>
    <w:p w14:paraId="30E0D4B3">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4.乙方未按本合同的规定和“服务承诺”提供伴随服务的，甲方有权提前解除本合同，同时乙方应按合同总价款的5 %向甲方承担违约责任。</w:t>
      </w:r>
    </w:p>
    <w:p w14:paraId="230414DC">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5.乙方在承担上述一项或多项违约责任后，仍应继续履行合同规定的义务（甲方解除合同的除外）。甲方未能及时追究乙方的任何一项违约责任并不表明甲方放弃追究乙方该项或其他违约责任。</w:t>
      </w:r>
    </w:p>
    <w:p w14:paraId="69054811">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6.乙方属虚假承诺，或是由于乙方的过错造成合同无法继续履行的，除乙方已交履约保证金不予退还外，还应向甲方支付不少于合同总价30%违约金，若该违约金不足以弥补甲方损失，则应当赔偿甲方所有损失。</w:t>
      </w:r>
    </w:p>
    <w:p w14:paraId="16B20F57">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7.其他未尽事宜，以《民法典》等有关法律法规规定为准，无相关规定的，双方协商解决。</w:t>
      </w:r>
    </w:p>
    <w:p w14:paraId="7202A7AA">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第七条 合同的变更和终止</w:t>
      </w:r>
    </w:p>
    <w:p w14:paraId="4066EE2B">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1.本合同一经签订，甲乙双方不得擅自变更、中止或终止合同。</w:t>
      </w:r>
    </w:p>
    <w:p w14:paraId="7FB51489">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2.除发生法律规定的不能预见、不能避免并不能克服的客观情况外，甲乙双方不得放弃或拒绝履行合同。乙方放弃或拒绝履行合同，履约保证金不予退还。</w:t>
      </w:r>
    </w:p>
    <w:p w14:paraId="1988BA38">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第八条 合同的转让</w:t>
      </w:r>
    </w:p>
    <w:p w14:paraId="56528C24">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乙方不得擅自部分或全部转让其应履行的合同义务。</w:t>
      </w:r>
    </w:p>
    <w:p w14:paraId="39483BA7">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第九条 不可抗力</w:t>
      </w:r>
    </w:p>
    <w:p w14:paraId="4807B685">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甲、乙方中任何一方，因不可抗力不能按时或完全履行合同的，应及时通知对方，并在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5日内提供相应证明。未履行完合同部分是否继续履行、如何履行等问题，可由双方初步协商，并向主管部门报告。确定为不可抗力原因造成的损失，免予承担责任。</w:t>
      </w:r>
    </w:p>
    <w:p w14:paraId="234064C9">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第十条 争议的解决</w:t>
      </w:r>
    </w:p>
    <w:p w14:paraId="01FD7EB5">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1.因履行本合同引起的或与本合同有关的争议，甲、乙双方应首先通过友好协商解决，如果协商不能解决争议，则采取以下第（ ）种方式解决争议：</w:t>
      </w:r>
    </w:p>
    <w:p w14:paraId="67EA1663">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（1）向甲方所在地人民法院提起诉讼；</w:t>
      </w:r>
    </w:p>
    <w:p w14:paraId="5740A323">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（2）向甲方所在地仲裁委员会按其仲裁规则申请仲裁。</w:t>
      </w:r>
    </w:p>
    <w:p w14:paraId="4DF4E66E">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如没有约定，默认采取第2种方式解决争议。</w:t>
      </w:r>
    </w:p>
    <w:p w14:paraId="6D146C02">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2.在法院审理和仲裁期间，除有争议部分外，本合同其他部分应继续履行。</w:t>
      </w:r>
    </w:p>
    <w:p w14:paraId="0596F0FB">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 xml:space="preserve">第十一条 诚实信用 </w:t>
      </w:r>
    </w:p>
    <w:p w14:paraId="64F7ADBD">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乙方应诚实信用，严格按照竞争性磋商文件要求和磋商承诺履行合同，不向甲方进行商业贿赂或者提供不正当利益。</w:t>
      </w:r>
    </w:p>
    <w:p w14:paraId="1DFEA671">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第十二条 合同生效及其他</w:t>
      </w:r>
    </w:p>
    <w:p w14:paraId="2FB5DFC8">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1.本合同自经甲乙双方授权代表签订并加盖公章后，自签订之日起生效。见证方仅对甲乙双方签订采购合同的事实进行见证，不代表任何承诺或保证，该合同的履行等相关情况均与见证方无任何关系。</w:t>
      </w:r>
    </w:p>
    <w:p w14:paraId="3359959E">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2.本合同一式伍份，甲乙双方各执贰份，代理机构执壹份存档。</w:t>
      </w:r>
    </w:p>
    <w:p w14:paraId="60973178">
      <w:pPr>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3.本合同应按照中华人民共和国的现行法律进行解释。</w:t>
      </w:r>
    </w:p>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64"/>
        <w:gridCol w:w="4332"/>
      </w:tblGrid>
      <w:tr w14:paraId="6106D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64" w:type="dxa"/>
          </w:tcPr>
          <w:p w14:paraId="65EE7F25">
            <w:pPr>
              <w:spacing w:line="400" w:lineRule="exact"/>
              <w:jc w:val="left"/>
              <w:rPr>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p>
          <w:p w14:paraId="716F8E8D">
            <w:pPr>
              <w:spacing w:line="400" w:lineRule="exact"/>
              <w:jc w:val="left"/>
              <w:rPr>
                <w:color w:val="auto"/>
                <w:szCs w:val="21"/>
                <w:highlight w:val="non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p>
          <w:p w14:paraId="67A38149">
            <w:pPr>
              <w:spacing w:line="400" w:lineRule="exact"/>
              <w:jc w:val="left"/>
              <w:rPr>
                <w:color w:val="auto"/>
                <w:szCs w:val="21"/>
                <w:highlight w:val="non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p>
          <w:p w14:paraId="0F18CF74">
            <w:pPr>
              <w:spacing w:line="400" w:lineRule="exact"/>
              <w:jc w:val="left"/>
              <w:rPr>
                <w:color w:val="auto"/>
                <w:szCs w:val="21"/>
                <w:highlight w:val="none"/>
              </w:rPr>
            </w:pPr>
            <w:r>
              <w:rPr>
                <w:rFonts w:hint="eastAsia" w:ascii="宋体" w:hAnsi="宋体" w:cs="宋体"/>
                <w:color w:val="auto"/>
                <w:szCs w:val="21"/>
                <w:highlight w:val="none"/>
              </w:rPr>
              <w:t>法定代表人：       委托代理人：</w:t>
            </w:r>
          </w:p>
          <w:p w14:paraId="55D6C392">
            <w:pPr>
              <w:spacing w:line="400" w:lineRule="exact"/>
              <w:jc w:val="left"/>
              <w:rPr>
                <w:color w:val="auto"/>
                <w:szCs w:val="21"/>
                <w:highlight w:val="none"/>
              </w:rPr>
            </w:pPr>
            <w:r>
              <w:rPr>
                <w:rFonts w:hint="eastAsia" w:ascii="宋体" w:hAnsi="宋体" w:cs="宋体"/>
                <w:color w:val="auto"/>
                <w:szCs w:val="21"/>
                <w:highlight w:val="none"/>
              </w:rPr>
              <w:t xml:space="preserve">电话：          </w:t>
            </w:r>
          </w:p>
          <w:p w14:paraId="188C2D2A">
            <w:pPr>
              <w:spacing w:line="400" w:lineRule="exact"/>
              <w:jc w:val="left"/>
              <w:rPr>
                <w:rFonts w:ascii="宋体" w:hAnsi="宋体" w:cs="宋体"/>
                <w:b/>
                <w:bCs/>
                <w:color w:val="auto"/>
                <w:szCs w:val="21"/>
                <w:highlight w:val="none"/>
              </w:rPr>
            </w:pPr>
            <w:r>
              <w:rPr>
                <w:rFonts w:hint="eastAsia" w:ascii="宋体" w:hAnsi="宋体" w:cs="宋体"/>
                <w:color w:val="auto"/>
                <w:szCs w:val="21"/>
                <w:highlight w:val="none"/>
              </w:rPr>
              <w:t xml:space="preserve">传真：                         </w:t>
            </w:r>
          </w:p>
        </w:tc>
        <w:tc>
          <w:tcPr>
            <w:tcW w:w="4332" w:type="dxa"/>
          </w:tcPr>
          <w:p w14:paraId="58260986">
            <w:pPr>
              <w:spacing w:line="400" w:lineRule="exact"/>
              <w:jc w:val="left"/>
              <w:rPr>
                <w:b/>
                <w:bCs/>
                <w:color w:val="auto"/>
                <w:szCs w:val="21"/>
                <w:highlight w:val="none"/>
              </w:rPr>
            </w:pPr>
            <w:r>
              <w:rPr>
                <w:rFonts w:hint="eastAsia" w:ascii="宋体" w:hAnsi="宋体" w:cs="宋体"/>
                <w:b/>
                <w:bCs/>
                <w:color w:val="auto"/>
                <w:szCs w:val="21"/>
                <w:highlight w:val="none"/>
              </w:rPr>
              <w:t>乙    方：</w:t>
            </w:r>
          </w:p>
          <w:p w14:paraId="5760BE5F">
            <w:pPr>
              <w:spacing w:line="400" w:lineRule="exact"/>
              <w:jc w:val="left"/>
              <w:rPr>
                <w:color w:val="auto"/>
                <w:szCs w:val="21"/>
                <w:highlight w:val="none"/>
              </w:rPr>
            </w:pPr>
            <w:r>
              <w:rPr>
                <w:rFonts w:hint="eastAsia" w:ascii="宋体" w:hAnsi="宋体" w:cs="宋体"/>
                <w:color w:val="auto"/>
                <w:szCs w:val="21"/>
                <w:highlight w:val="none"/>
              </w:rPr>
              <w:t>单位名称（章）：</w:t>
            </w:r>
          </w:p>
          <w:p w14:paraId="07F77FEB">
            <w:pPr>
              <w:spacing w:line="400" w:lineRule="exact"/>
              <w:jc w:val="left"/>
              <w:rPr>
                <w:color w:val="auto"/>
                <w:szCs w:val="21"/>
                <w:highlight w:val="none"/>
              </w:rPr>
            </w:pPr>
            <w:r>
              <w:rPr>
                <w:rFonts w:hint="eastAsia" w:ascii="宋体" w:hAnsi="宋体" w:cs="宋体"/>
                <w:color w:val="auto"/>
                <w:szCs w:val="21"/>
                <w:highlight w:val="none"/>
              </w:rPr>
              <w:t>单位地址：</w:t>
            </w:r>
          </w:p>
          <w:p w14:paraId="21D83970">
            <w:pPr>
              <w:spacing w:line="400" w:lineRule="exact"/>
              <w:jc w:val="left"/>
              <w:rPr>
                <w:color w:val="auto"/>
                <w:szCs w:val="21"/>
                <w:highlight w:val="none"/>
              </w:rPr>
            </w:pPr>
            <w:r>
              <w:rPr>
                <w:rFonts w:hint="eastAsia" w:ascii="宋体" w:hAnsi="宋体" w:cs="宋体"/>
                <w:color w:val="auto"/>
                <w:szCs w:val="21"/>
                <w:highlight w:val="none"/>
              </w:rPr>
              <w:t xml:space="preserve">法定代表人：     委托代理人： </w:t>
            </w:r>
          </w:p>
          <w:p w14:paraId="225E85A0">
            <w:pPr>
              <w:spacing w:line="400" w:lineRule="exact"/>
              <w:jc w:val="left"/>
              <w:rPr>
                <w:color w:val="auto"/>
                <w:szCs w:val="21"/>
                <w:highlight w:val="none"/>
              </w:rPr>
            </w:pPr>
            <w:r>
              <w:rPr>
                <w:rFonts w:hint="eastAsia" w:ascii="宋体" w:hAnsi="宋体" w:cs="宋体"/>
                <w:color w:val="auto"/>
                <w:szCs w:val="21"/>
                <w:highlight w:val="none"/>
              </w:rPr>
              <w:t>电话：            传真：</w:t>
            </w:r>
          </w:p>
          <w:p w14:paraId="6625284B">
            <w:pPr>
              <w:spacing w:line="400" w:lineRule="exact"/>
              <w:jc w:val="left"/>
              <w:rPr>
                <w:rFonts w:ascii="宋体" w:hAnsi="宋体" w:cs="宋体"/>
                <w:b/>
                <w:bCs/>
                <w:color w:val="auto"/>
                <w:szCs w:val="21"/>
                <w:highlight w:val="none"/>
              </w:rPr>
            </w:pPr>
            <w:r>
              <w:rPr>
                <w:rFonts w:hint="eastAsia" w:ascii="宋体" w:hAnsi="宋体" w:cs="宋体"/>
                <w:color w:val="auto"/>
                <w:szCs w:val="21"/>
                <w:highlight w:val="none"/>
              </w:rPr>
              <w:t xml:space="preserve">开户银行：        账号：   </w:t>
            </w:r>
            <w:r>
              <w:rPr>
                <w:rFonts w:hint="eastAsia" w:ascii="宋体" w:hAnsi="宋体" w:cs="宋体"/>
                <w:b/>
                <w:bCs/>
                <w:color w:val="auto"/>
                <w:szCs w:val="21"/>
                <w:highlight w:val="none"/>
              </w:rPr>
              <w:t xml:space="preserve">   </w:t>
            </w:r>
          </w:p>
        </w:tc>
      </w:tr>
    </w:tbl>
    <w:p w14:paraId="0300C9BC">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w:t>
      </w:r>
    </w:p>
    <w:p w14:paraId="0D1E28B2">
      <w:pPr>
        <w:spacing w:line="400" w:lineRule="exact"/>
        <w:rPr>
          <w:rFonts w:ascii="宋体" w:hAnsi="宋体" w:cs="宋体"/>
          <w:b/>
          <w:bCs/>
          <w:color w:val="auto"/>
          <w:szCs w:val="21"/>
          <w:highlight w:val="none"/>
        </w:rPr>
      </w:pPr>
    </w:p>
    <w:p w14:paraId="03A8C47D">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14:paraId="341E58C3">
      <w:pPr>
        <w:tabs>
          <w:tab w:val="left" w:pos="3780"/>
        </w:tabs>
        <w:spacing w:line="400" w:lineRule="exact"/>
        <w:rPr>
          <w:rFonts w:ascii="宋体" w:hAnsi="宋体" w:cs="宋体"/>
          <w:color w:val="auto"/>
          <w:szCs w:val="21"/>
          <w:highlight w:val="none"/>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rPr>
        <w:t>常州市城投建设工程招标有限公司</w:t>
      </w:r>
    </w:p>
    <w:p w14:paraId="19729A84">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w:t>
      </w:r>
    </w:p>
    <w:p w14:paraId="37C19556">
      <w:pPr>
        <w:spacing w:line="400" w:lineRule="exact"/>
        <w:rPr>
          <w:rFonts w:ascii="宋体" w:hAnsi="宋体" w:cs="宋体"/>
          <w:color w:val="auto"/>
          <w:szCs w:val="21"/>
          <w:highlight w:val="none"/>
        </w:rPr>
      </w:pPr>
      <w:r>
        <w:rPr>
          <w:rFonts w:hint="eastAsia" w:ascii="宋体" w:hAnsi="宋体" w:cs="宋体"/>
          <w:color w:val="auto"/>
          <w:szCs w:val="21"/>
          <w:highlight w:val="none"/>
        </w:rPr>
        <w:t>经办人：                               电  话：</w:t>
      </w:r>
    </w:p>
    <w:p w14:paraId="5B177207">
      <w:pPr>
        <w:widowControl/>
        <w:jc w:val="left"/>
        <w:rPr>
          <w:rFonts w:ascii="宋体" w:hAnsi="宋体" w:cs="宋体"/>
          <w:b/>
          <w:color w:val="auto"/>
          <w:sz w:val="30"/>
          <w:szCs w:val="30"/>
          <w:highlight w:val="none"/>
        </w:rPr>
      </w:pPr>
      <w:r>
        <w:rPr>
          <w:rFonts w:hint="eastAsia" w:ascii="宋体" w:hAnsi="宋体" w:cs="宋体"/>
          <w:b/>
          <w:color w:val="auto"/>
          <w:sz w:val="30"/>
          <w:szCs w:val="30"/>
          <w:highlight w:val="none"/>
        </w:rPr>
        <w:br w:type="page"/>
      </w:r>
    </w:p>
    <w:p w14:paraId="0D8E5EF3">
      <w:pPr>
        <w:pStyle w:val="3"/>
        <w:rPr>
          <w:rFonts w:ascii="宋体" w:hAnsi="宋体" w:cs="宋体"/>
          <w:color w:val="auto"/>
          <w:highlight w:val="none"/>
        </w:rPr>
      </w:pPr>
      <w:bookmarkStart w:id="5" w:name="_Toc17537930"/>
      <w:bookmarkStart w:id="6" w:name="_Toc17536327"/>
      <w:r>
        <w:rPr>
          <w:rFonts w:hint="eastAsia" w:ascii="宋体" w:hAnsi="宋体" w:cs="宋体"/>
          <w:color w:val="auto"/>
          <w:highlight w:val="none"/>
        </w:rPr>
        <w:t>第四章  评审细则</w:t>
      </w:r>
      <w:bookmarkEnd w:id="5"/>
    </w:p>
    <w:p w14:paraId="0DAB0F16">
      <w:pPr>
        <w:snapToGrid w:val="0"/>
        <w:spacing w:line="360" w:lineRule="exact"/>
        <w:ind w:firstLine="422" w:firstLineChars="200"/>
        <w:rPr>
          <w:rFonts w:ascii="宋体" w:hAnsi="宋体" w:cs="宋体"/>
          <w:color w:val="auto"/>
          <w:szCs w:val="21"/>
          <w:highlight w:val="none"/>
        </w:rPr>
      </w:pPr>
      <w:r>
        <w:rPr>
          <w:rFonts w:hint="eastAsia" w:cs="宋体" w:asciiTheme="minorEastAsia" w:hAnsiTheme="minorEastAsia" w:eastAsiaTheme="minorEastAsia"/>
          <w:b/>
          <w:color w:val="auto"/>
          <w:szCs w:val="21"/>
          <w:highlight w:val="none"/>
        </w:rPr>
        <w:t>一、本项目采用综合评分法</w:t>
      </w:r>
      <w:r>
        <w:rPr>
          <w:rFonts w:hint="eastAsia" w:ascii="宋体" w:hAnsi="宋体" w:cs="宋体"/>
          <w:color w:val="auto"/>
          <w:szCs w:val="21"/>
          <w:highlight w:val="none"/>
        </w:rPr>
        <w:t>，由磋商小组对所有有效投标进行详细的评分，采用百分制计分方法。评审时，磋商小组各成员遵循公平、公正、择优原则，独立对每个有效供应商的标书进行评价、打分，各个供应商的评审后最终得分为汇总计算所有评委所评定分值的平均值（保留2位小数）。</w:t>
      </w:r>
    </w:p>
    <w:p w14:paraId="12FD5779">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评审结果按评审后得分由高到低顺序排列。得分相同的，按磋商报价由低到高顺序排列。得分且磋商报价相同的并列。磋商响应文件满足磋商文件全部实质性要求，且按照评审因素的量化指标评审得分最高的供应商为排名第一的成交候选人。</w:t>
      </w:r>
    </w:p>
    <w:p w14:paraId="1D3BAFAE">
      <w:pPr>
        <w:spacing w:line="360" w:lineRule="exact"/>
        <w:ind w:firstLine="422" w:firstLineChars="200"/>
        <w:rPr>
          <w:rFonts w:ascii="宋体" w:hAnsi="宋体" w:cs="宋体"/>
          <w:b/>
          <w:color w:val="auto"/>
          <w:szCs w:val="21"/>
          <w:highlight w:val="none"/>
        </w:rPr>
      </w:pPr>
      <w:r>
        <w:rPr>
          <w:rFonts w:hint="eastAsia" w:cs="宋体" w:asciiTheme="minorEastAsia" w:hAnsiTheme="minorEastAsia" w:eastAsiaTheme="minorEastAsia"/>
          <w:b/>
          <w:color w:val="auto"/>
          <w:szCs w:val="21"/>
          <w:highlight w:val="none"/>
        </w:rPr>
        <w:t>二、评分细则：</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
        <w:gridCol w:w="1096"/>
        <w:gridCol w:w="6317"/>
        <w:gridCol w:w="673"/>
      </w:tblGrid>
      <w:tr w14:paraId="13219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Align w:val="center"/>
          </w:tcPr>
          <w:p w14:paraId="19BE7AFA">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kern w:val="1"/>
                <w:sz w:val="21"/>
                <w:szCs w:val="21"/>
                <w:highlight w:val="none"/>
              </w:rPr>
            </w:pPr>
            <w:r>
              <w:rPr>
                <w:rFonts w:hint="eastAsia" w:ascii="宋体" w:hAnsi="宋体" w:eastAsia="宋体" w:cs="宋体"/>
                <w:b/>
                <w:bCs/>
                <w:color w:val="auto"/>
                <w:kern w:val="1"/>
                <w:sz w:val="21"/>
                <w:szCs w:val="21"/>
                <w:highlight w:val="none"/>
              </w:rPr>
              <w:t>序号</w:t>
            </w:r>
          </w:p>
        </w:tc>
        <w:tc>
          <w:tcPr>
            <w:tcW w:w="643" w:type="pct"/>
            <w:vAlign w:val="center"/>
          </w:tcPr>
          <w:p w14:paraId="2EFEFA1E">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kern w:val="1"/>
                <w:sz w:val="21"/>
                <w:szCs w:val="21"/>
                <w:highlight w:val="none"/>
              </w:rPr>
            </w:pPr>
            <w:r>
              <w:rPr>
                <w:rFonts w:hint="eastAsia" w:ascii="宋体" w:hAnsi="宋体" w:eastAsia="宋体" w:cs="宋体"/>
                <w:b/>
                <w:bCs/>
                <w:color w:val="auto"/>
                <w:kern w:val="1"/>
                <w:sz w:val="21"/>
                <w:szCs w:val="21"/>
                <w:highlight w:val="none"/>
              </w:rPr>
              <w:t>评审因素</w:t>
            </w:r>
          </w:p>
        </w:tc>
        <w:tc>
          <w:tcPr>
            <w:tcW w:w="3707" w:type="pct"/>
            <w:vAlign w:val="center"/>
          </w:tcPr>
          <w:p w14:paraId="57B1AE9A">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kern w:val="1"/>
                <w:sz w:val="21"/>
                <w:szCs w:val="21"/>
                <w:highlight w:val="none"/>
              </w:rPr>
            </w:pPr>
            <w:r>
              <w:rPr>
                <w:rFonts w:hint="eastAsia" w:ascii="宋体" w:hAnsi="宋体" w:eastAsia="宋体" w:cs="宋体"/>
                <w:b/>
                <w:bCs/>
                <w:color w:val="auto"/>
                <w:kern w:val="1"/>
                <w:sz w:val="21"/>
                <w:szCs w:val="21"/>
                <w:highlight w:val="none"/>
              </w:rPr>
              <w:t>评分标准</w:t>
            </w:r>
          </w:p>
        </w:tc>
        <w:tc>
          <w:tcPr>
            <w:tcW w:w="393" w:type="pct"/>
            <w:vAlign w:val="center"/>
          </w:tcPr>
          <w:p w14:paraId="18C40137">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kern w:val="1"/>
                <w:sz w:val="21"/>
                <w:szCs w:val="21"/>
                <w:highlight w:val="none"/>
              </w:rPr>
            </w:pPr>
            <w:r>
              <w:rPr>
                <w:rFonts w:hint="eastAsia" w:ascii="宋体" w:hAnsi="宋体" w:eastAsia="宋体" w:cs="宋体"/>
                <w:b/>
                <w:bCs/>
                <w:color w:val="auto"/>
                <w:kern w:val="1"/>
                <w:sz w:val="21"/>
                <w:szCs w:val="21"/>
                <w:highlight w:val="none"/>
              </w:rPr>
              <w:t>分值</w:t>
            </w:r>
          </w:p>
        </w:tc>
      </w:tr>
      <w:tr w14:paraId="62BD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61643FA3">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rPr>
              <w:t>一、价格分</w:t>
            </w:r>
            <w:r>
              <w:rPr>
                <w:rFonts w:hint="eastAsia" w:ascii="宋体" w:hAnsi="宋体" w:eastAsia="宋体" w:cs="宋体"/>
                <w:b/>
                <w:bCs/>
                <w:color w:val="auto"/>
                <w:kern w:val="0"/>
                <w:sz w:val="21"/>
                <w:szCs w:val="21"/>
                <w:highlight w:val="none"/>
                <w:lang w:eastAsia="zh-CN"/>
              </w:rPr>
              <w:t>（</w:t>
            </w:r>
            <w:r>
              <w:rPr>
                <w:rFonts w:hint="eastAsia" w:ascii="宋体" w:hAnsi="宋体" w:cs="宋体"/>
                <w:b/>
                <w:bCs/>
                <w:color w:val="auto"/>
                <w:kern w:val="0"/>
                <w:sz w:val="21"/>
                <w:szCs w:val="21"/>
                <w:highlight w:val="none"/>
                <w:lang w:val="en-US" w:eastAsia="zh-CN"/>
              </w:rPr>
              <w:t>30</w:t>
            </w:r>
            <w:r>
              <w:rPr>
                <w:rFonts w:hint="eastAsia" w:ascii="宋体" w:hAnsi="宋体" w:eastAsia="宋体" w:cs="宋体"/>
                <w:b/>
                <w:bCs/>
                <w:color w:val="auto"/>
                <w:kern w:val="0"/>
                <w:sz w:val="21"/>
                <w:szCs w:val="21"/>
                <w:highlight w:val="none"/>
                <w:lang w:val="en-US" w:eastAsia="zh-CN"/>
              </w:rPr>
              <w:t>分</w:t>
            </w:r>
            <w:r>
              <w:rPr>
                <w:rFonts w:hint="eastAsia" w:ascii="宋体" w:hAnsi="宋体" w:eastAsia="宋体" w:cs="宋体"/>
                <w:b/>
                <w:bCs/>
                <w:color w:val="auto"/>
                <w:kern w:val="0"/>
                <w:sz w:val="21"/>
                <w:szCs w:val="21"/>
                <w:highlight w:val="none"/>
                <w:lang w:eastAsia="zh-CN"/>
              </w:rPr>
              <w:t>）</w:t>
            </w:r>
          </w:p>
        </w:tc>
      </w:tr>
      <w:tr w14:paraId="4713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255" w:type="pct"/>
            <w:vAlign w:val="center"/>
          </w:tcPr>
          <w:p w14:paraId="59391A35">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643" w:type="pct"/>
            <w:vAlign w:val="center"/>
          </w:tcPr>
          <w:p w14:paraId="1881944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价格</w:t>
            </w:r>
            <w:r>
              <w:rPr>
                <w:rFonts w:hint="eastAsia" w:ascii="宋体" w:hAnsi="宋体" w:cs="宋体"/>
                <w:color w:val="auto"/>
                <w:kern w:val="1"/>
                <w:sz w:val="21"/>
                <w:szCs w:val="21"/>
                <w:highlight w:val="none"/>
                <w:lang w:val="en-US" w:eastAsia="zh-CN"/>
              </w:rPr>
              <w:t>基准</w:t>
            </w:r>
            <w:r>
              <w:rPr>
                <w:rFonts w:hint="eastAsia" w:ascii="宋体" w:hAnsi="宋体" w:eastAsia="宋体" w:cs="宋体"/>
                <w:color w:val="auto"/>
                <w:kern w:val="1"/>
                <w:sz w:val="21"/>
                <w:szCs w:val="21"/>
                <w:highlight w:val="none"/>
              </w:rPr>
              <w:t>分</w:t>
            </w:r>
          </w:p>
        </w:tc>
        <w:tc>
          <w:tcPr>
            <w:tcW w:w="3707" w:type="pct"/>
            <w:vAlign w:val="center"/>
          </w:tcPr>
          <w:p w14:paraId="2419E5F6">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价格分采用低价优先法计算，即满足竞争性磋商文件要求且磋商价格最低的磋商报价为磋商基准价，其价格分为满分。其他供应商的价格分统一按照下列公式计算（计算结果四舍五入保留两位小数）：</w:t>
            </w:r>
          </w:p>
          <w:p w14:paraId="2141932A">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color w:val="auto"/>
                <w:sz w:val="21"/>
                <w:szCs w:val="21"/>
                <w:highlight w:val="none"/>
              </w:rPr>
              <w:t>磋商报价得分=（</w:t>
            </w:r>
            <w:r>
              <w:rPr>
                <w:rFonts w:hint="eastAsia" w:ascii="宋体" w:hAnsi="宋体" w:eastAsia="宋体" w:cs="宋体"/>
                <w:i w:val="0"/>
                <w:iCs w:val="0"/>
                <w:color w:val="auto"/>
                <w:sz w:val="21"/>
                <w:szCs w:val="21"/>
                <w:highlight w:val="none"/>
                <w:u w:val="none"/>
              </w:rPr>
              <w:t>磋商基准价/最后磋商报价</w:t>
            </w:r>
            <w:r>
              <w:rPr>
                <w:rFonts w:hint="eastAsia" w:ascii="宋体" w:hAnsi="宋体" w:eastAsia="宋体" w:cs="宋体"/>
                <w:color w:val="auto"/>
                <w:sz w:val="21"/>
                <w:szCs w:val="21"/>
                <w:highlight w:val="none"/>
              </w:rPr>
              <w:t>）×价格权值×100</w:t>
            </w:r>
          </w:p>
        </w:tc>
        <w:tc>
          <w:tcPr>
            <w:tcW w:w="393" w:type="pct"/>
            <w:vAlign w:val="center"/>
          </w:tcPr>
          <w:p w14:paraId="14D232B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bCs/>
                <w:color w:val="auto"/>
                <w:sz w:val="21"/>
                <w:szCs w:val="21"/>
                <w:highlight w:val="none"/>
                <w:u w:val="single"/>
                <w:lang w:val="en-US" w:eastAsia="zh-CN"/>
              </w:rPr>
            </w:pPr>
            <w:r>
              <w:rPr>
                <w:rFonts w:hint="eastAsia" w:ascii="宋体" w:hAnsi="宋体" w:cs="宋体"/>
                <w:bCs/>
                <w:color w:val="auto"/>
                <w:sz w:val="21"/>
                <w:szCs w:val="21"/>
                <w:highlight w:val="none"/>
                <w:lang w:val="en-US" w:eastAsia="zh-CN"/>
              </w:rPr>
              <w:t>30</w:t>
            </w:r>
          </w:p>
        </w:tc>
      </w:tr>
      <w:tr w14:paraId="396F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4"/>
            <w:vAlign w:val="center"/>
          </w:tcPr>
          <w:p w14:paraId="365814DC">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Cs/>
                <w:color w:val="auto"/>
                <w:kern w:val="0"/>
                <w:sz w:val="21"/>
                <w:szCs w:val="21"/>
                <w:highlight w:val="none"/>
                <w:lang w:eastAsia="zh-CN"/>
              </w:rPr>
            </w:pPr>
            <w:r>
              <w:rPr>
                <w:rFonts w:hint="eastAsia" w:ascii="宋体" w:hAnsi="宋体" w:eastAsia="宋体" w:cs="宋体"/>
                <w:b/>
                <w:color w:val="auto"/>
                <w:kern w:val="0"/>
                <w:sz w:val="21"/>
                <w:szCs w:val="21"/>
                <w:highlight w:val="none"/>
              </w:rPr>
              <w:t>二、</w:t>
            </w:r>
            <w:r>
              <w:rPr>
                <w:rFonts w:hint="eastAsia" w:ascii="宋体" w:hAnsi="宋体" w:eastAsia="宋体" w:cs="宋体"/>
                <w:b/>
                <w:color w:val="auto"/>
                <w:kern w:val="0"/>
                <w:sz w:val="21"/>
                <w:szCs w:val="21"/>
                <w:highlight w:val="none"/>
                <w:lang w:eastAsia="zh-CN"/>
              </w:rPr>
              <w:t>供应商</w:t>
            </w:r>
            <w:r>
              <w:rPr>
                <w:rFonts w:hint="eastAsia" w:ascii="宋体" w:hAnsi="宋体" w:eastAsia="宋体" w:cs="宋体"/>
                <w:b/>
                <w:color w:val="auto"/>
                <w:kern w:val="0"/>
                <w:sz w:val="21"/>
                <w:szCs w:val="21"/>
                <w:highlight w:val="none"/>
              </w:rPr>
              <w:t>实力</w:t>
            </w:r>
            <w:r>
              <w:rPr>
                <w:rFonts w:hint="eastAsia" w:ascii="宋体" w:hAnsi="宋体" w:eastAsia="宋体" w:cs="宋体"/>
                <w:b/>
                <w:color w:val="auto"/>
                <w:kern w:val="0"/>
                <w:sz w:val="21"/>
                <w:szCs w:val="21"/>
                <w:highlight w:val="none"/>
                <w:lang w:eastAsia="zh-CN"/>
              </w:rPr>
              <w:t>（</w:t>
            </w:r>
            <w:r>
              <w:rPr>
                <w:rFonts w:hint="eastAsia" w:ascii="宋体" w:hAnsi="宋体" w:cs="宋体"/>
                <w:b/>
                <w:color w:val="auto"/>
                <w:kern w:val="0"/>
                <w:sz w:val="21"/>
                <w:szCs w:val="21"/>
                <w:highlight w:val="none"/>
                <w:lang w:val="en-US" w:eastAsia="zh-CN"/>
              </w:rPr>
              <w:t>44</w:t>
            </w:r>
            <w:r>
              <w:rPr>
                <w:rFonts w:hint="eastAsia" w:ascii="宋体" w:hAnsi="宋体" w:eastAsia="宋体" w:cs="宋体"/>
                <w:b/>
                <w:color w:val="auto"/>
                <w:kern w:val="0"/>
                <w:sz w:val="21"/>
                <w:szCs w:val="21"/>
                <w:highlight w:val="none"/>
                <w:lang w:val="en-US" w:eastAsia="zh-CN"/>
              </w:rPr>
              <w:t>分</w:t>
            </w:r>
            <w:r>
              <w:rPr>
                <w:rFonts w:hint="eastAsia" w:ascii="宋体" w:hAnsi="宋体" w:eastAsia="宋体" w:cs="宋体"/>
                <w:b/>
                <w:color w:val="auto"/>
                <w:kern w:val="0"/>
                <w:sz w:val="21"/>
                <w:szCs w:val="21"/>
                <w:highlight w:val="none"/>
                <w:lang w:eastAsia="zh-CN"/>
              </w:rPr>
              <w:t>）</w:t>
            </w:r>
          </w:p>
        </w:tc>
      </w:tr>
      <w:tr w14:paraId="586A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255" w:type="pct"/>
            <w:vAlign w:val="center"/>
          </w:tcPr>
          <w:p w14:paraId="592BC6F7">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2</w:t>
            </w:r>
          </w:p>
        </w:tc>
        <w:tc>
          <w:tcPr>
            <w:tcW w:w="643" w:type="pct"/>
            <w:vAlign w:val="center"/>
          </w:tcPr>
          <w:p w14:paraId="18724BFC">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项目负责人业绩</w:t>
            </w:r>
          </w:p>
        </w:tc>
        <w:tc>
          <w:tcPr>
            <w:tcW w:w="3707" w:type="pct"/>
            <w:vAlign w:val="center"/>
          </w:tcPr>
          <w:p w14:paraId="0E394C8F">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供应商</w:t>
            </w:r>
            <w:r>
              <w:rPr>
                <w:rFonts w:hint="eastAsia" w:ascii="宋体" w:hAnsi="宋体" w:eastAsia="宋体" w:cs="宋体"/>
                <w:b w:val="0"/>
                <w:bCs w:val="0"/>
                <w:color w:val="auto"/>
                <w:sz w:val="21"/>
                <w:szCs w:val="21"/>
                <w:highlight w:val="none"/>
              </w:rPr>
              <w:t>提供</w:t>
            </w:r>
            <w:r>
              <w:rPr>
                <w:rFonts w:hint="eastAsia" w:ascii="宋体" w:hAnsi="宋体" w:cs="宋体"/>
                <w:b w:val="0"/>
                <w:bCs w:val="0"/>
                <w:color w:val="auto"/>
                <w:sz w:val="21"/>
                <w:szCs w:val="21"/>
                <w:highlight w:val="none"/>
                <w:lang w:val="en-US" w:eastAsia="zh-CN"/>
              </w:rPr>
              <w:t>项目负责人</w:t>
            </w:r>
            <w:r>
              <w:rPr>
                <w:rFonts w:hint="eastAsia" w:ascii="宋体" w:hAnsi="宋体" w:eastAsia="宋体" w:cs="宋体"/>
                <w:b w:val="0"/>
                <w:bCs w:val="0"/>
                <w:color w:val="auto"/>
                <w:sz w:val="21"/>
                <w:szCs w:val="21"/>
                <w:highlight w:val="none"/>
              </w:rPr>
              <w:t>自2023年1月1日以来承接的</w:t>
            </w:r>
            <w:r>
              <w:rPr>
                <w:rFonts w:hint="eastAsia" w:ascii="宋体" w:hAnsi="宋体" w:cs="宋体"/>
                <w:b w:val="0"/>
                <w:bCs w:val="0"/>
                <w:color w:val="auto"/>
                <w:sz w:val="21"/>
                <w:szCs w:val="21"/>
                <w:highlight w:val="none"/>
                <w:lang w:val="en-US" w:eastAsia="zh-CN"/>
              </w:rPr>
              <w:t>类似</w:t>
            </w:r>
            <w:r>
              <w:rPr>
                <w:rFonts w:hint="eastAsia" w:ascii="宋体" w:hAnsi="宋体" w:cs="宋体"/>
                <w:color w:val="auto"/>
                <w:szCs w:val="21"/>
                <w:highlight w:val="none"/>
              </w:rPr>
              <w:t>跟踪审计</w:t>
            </w:r>
            <w:r>
              <w:rPr>
                <w:rFonts w:hint="eastAsia" w:ascii="宋体" w:hAnsi="宋体" w:cs="宋体"/>
                <w:color w:val="auto"/>
                <w:szCs w:val="21"/>
                <w:highlight w:val="none"/>
                <w:lang w:val="en-US" w:eastAsia="zh-CN"/>
              </w:rPr>
              <w:t>项目</w:t>
            </w:r>
            <w:r>
              <w:rPr>
                <w:rFonts w:hint="eastAsia" w:ascii="宋体" w:hAnsi="宋体" w:eastAsia="宋体" w:cs="宋体"/>
                <w:b w:val="0"/>
                <w:bCs w:val="0"/>
                <w:color w:val="auto"/>
                <w:sz w:val="21"/>
                <w:szCs w:val="21"/>
                <w:highlight w:val="none"/>
              </w:rPr>
              <w:t>，每提供1份合同得</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w:t>
            </w:r>
            <w:r>
              <w:rPr>
                <w:rFonts w:hint="eastAsia" w:ascii="宋体" w:hAnsi="宋体" w:cs="宋体"/>
                <w:b w:val="0"/>
                <w:bCs w:val="0"/>
                <w:color w:val="auto"/>
                <w:sz w:val="21"/>
                <w:szCs w:val="21"/>
                <w:highlight w:val="none"/>
                <w:lang w:val="en-US" w:eastAsia="zh-CN"/>
              </w:rPr>
              <w:t>最高6</w:t>
            </w:r>
            <w:r>
              <w:rPr>
                <w:rFonts w:hint="eastAsia" w:ascii="宋体" w:hAnsi="宋体" w:eastAsia="宋体" w:cs="宋体"/>
                <w:b w:val="0"/>
                <w:bCs w:val="0"/>
                <w:color w:val="auto"/>
                <w:sz w:val="21"/>
                <w:szCs w:val="21"/>
                <w:highlight w:val="none"/>
              </w:rPr>
              <w:t>分。</w:t>
            </w:r>
          </w:p>
          <w:p w14:paraId="0BD2A80B">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default" w:eastAsia="宋体"/>
                <w:color w:val="auto"/>
                <w:highlight w:val="none"/>
                <w:lang w:val="en-US" w:eastAsia="zh-CN"/>
              </w:rPr>
            </w:pPr>
            <w:r>
              <w:rPr>
                <w:rFonts w:hint="eastAsia" w:ascii="宋体" w:hAnsi="宋体" w:eastAsia="宋体" w:cs="宋体"/>
                <w:b/>
                <w:bCs/>
                <w:color w:val="auto"/>
                <w:sz w:val="21"/>
                <w:szCs w:val="21"/>
                <w:highlight w:val="none"/>
              </w:rPr>
              <w:t>提供合同</w:t>
            </w:r>
            <w:r>
              <w:rPr>
                <w:rFonts w:hint="eastAsia" w:ascii="宋体" w:hAnsi="宋体" w:eastAsia="宋体" w:cs="宋体"/>
                <w:b/>
                <w:bCs/>
                <w:color w:val="auto"/>
                <w:sz w:val="21"/>
                <w:szCs w:val="21"/>
                <w:highlight w:val="none"/>
                <w:lang w:val="en-US" w:eastAsia="zh-CN"/>
              </w:rPr>
              <w:t>复印件（需体现项目负责人姓名）</w:t>
            </w:r>
            <w:r>
              <w:rPr>
                <w:rFonts w:hint="eastAsia" w:ascii="宋体" w:hAnsi="宋体" w:eastAsia="宋体" w:cs="宋体"/>
                <w:b/>
                <w:bCs/>
                <w:color w:val="auto"/>
                <w:sz w:val="21"/>
                <w:szCs w:val="21"/>
                <w:highlight w:val="none"/>
              </w:rPr>
              <w:t>并加盖</w:t>
            </w:r>
            <w:r>
              <w:rPr>
                <w:rFonts w:hint="eastAsia" w:ascii="宋体" w:hAnsi="宋体" w:eastAsia="宋体" w:cs="宋体"/>
                <w:b/>
                <w:bCs/>
                <w:color w:val="auto"/>
                <w:sz w:val="21"/>
                <w:szCs w:val="21"/>
                <w:highlight w:val="none"/>
                <w:lang w:val="en-US" w:eastAsia="zh-CN"/>
              </w:rPr>
              <w:t>供应商</w:t>
            </w:r>
            <w:r>
              <w:rPr>
                <w:rFonts w:hint="eastAsia" w:ascii="宋体" w:hAnsi="宋体" w:eastAsia="宋体" w:cs="宋体"/>
                <w:b/>
                <w:bCs/>
                <w:color w:val="auto"/>
                <w:sz w:val="21"/>
                <w:szCs w:val="21"/>
                <w:highlight w:val="none"/>
              </w:rPr>
              <w:t>公章</w:t>
            </w:r>
            <w:r>
              <w:rPr>
                <w:rFonts w:hint="eastAsia" w:ascii="宋体" w:hAnsi="宋体" w:eastAsia="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如合同中未体现项目负责人姓名，由合同中甲方出具证明，</w:t>
            </w:r>
            <w:r>
              <w:rPr>
                <w:rFonts w:hint="eastAsia" w:ascii="宋体" w:hAnsi="宋体" w:eastAsia="宋体" w:cs="宋体"/>
                <w:b/>
                <w:bCs/>
                <w:color w:val="auto"/>
                <w:sz w:val="21"/>
                <w:szCs w:val="21"/>
                <w:highlight w:val="none"/>
                <w:lang w:val="en-US" w:eastAsia="zh-CN"/>
              </w:rPr>
              <w:t>否则不得分。</w:t>
            </w:r>
          </w:p>
        </w:tc>
        <w:tc>
          <w:tcPr>
            <w:tcW w:w="393" w:type="pct"/>
            <w:vAlign w:val="center"/>
          </w:tcPr>
          <w:p w14:paraId="075A9C6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6</w:t>
            </w:r>
          </w:p>
        </w:tc>
      </w:tr>
      <w:tr w14:paraId="0022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0" w:hRule="atLeast"/>
        </w:trPr>
        <w:tc>
          <w:tcPr>
            <w:tcW w:w="255" w:type="pct"/>
            <w:vMerge w:val="restart"/>
            <w:shd w:val="clear" w:color="auto" w:fill="auto"/>
            <w:vAlign w:val="center"/>
          </w:tcPr>
          <w:p w14:paraId="70CFEFB6">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rPr>
              <w:t>3</w:t>
            </w:r>
          </w:p>
        </w:tc>
        <w:tc>
          <w:tcPr>
            <w:tcW w:w="643" w:type="pct"/>
            <w:vMerge w:val="restart"/>
            <w:vAlign w:val="center"/>
          </w:tcPr>
          <w:p w14:paraId="2F89752F">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项目负责人</w:t>
            </w:r>
          </w:p>
        </w:tc>
        <w:tc>
          <w:tcPr>
            <w:tcW w:w="3707" w:type="pct"/>
            <w:vAlign w:val="center"/>
          </w:tcPr>
          <w:p w14:paraId="3570A4E2">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1.项目负责人一级造价师执业资格年限20年（含）及以上得5分；10年（含）至20年（不含）得3分；10年（不含）以下得1分，本项最高得5分；</w:t>
            </w:r>
          </w:p>
          <w:p w14:paraId="4BC0389C">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具备建设工程类高级及以上职称的得4分</w:t>
            </w:r>
            <w:r>
              <w:rPr>
                <w:rFonts w:hint="eastAsia" w:ascii="宋体" w:hAnsi="宋体" w:eastAsia="宋体" w:cs="宋体"/>
                <w:color w:val="auto"/>
                <w:sz w:val="21"/>
                <w:szCs w:val="21"/>
                <w:highlight w:val="none"/>
                <w:lang w:eastAsia="zh-CN"/>
              </w:rPr>
              <w:t>；</w:t>
            </w:r>
          </w:p>
          <w:p w14:paraId="703036EA">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具有国家注册咨询工程师（投资）、国家注册监理工程师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一级注册建造师的，每有一项得1分，本项最高得3分。</w:t>
            </w:r>
          </w:p>
          <w:p w14:paraId="39C69777">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color w:val="auto"/>
                <w:highlight w:val="none"/>
              </w:rPr>
            </w:pPr>
            <w:r>
              <w:rPr>
                <w:rFonts w:hint="eastAsia" w:ascii="宋体" w:hAnsi="宋体" w:eastAsia="宋体" w:cs="宋体"/>
                <w:b/>
                <w:bCs/>
                <w:color w:val="auto"/>
                <w:sz w:val="21"/>
                <w:szCs w:val="21"/>
                <w:highlight w:val="none"/>
              </w:rPr>
              <w:t>提供证书复印件</w:t>
            </w:r>
            <w:r>
              <w:rPr>
                <w:rFonts w:hint="eastAsia" w:ascii="宋体" w:hAnsi="宋体" w:eastAsia="宋体" w:cs="宋体"/>
                <w:b/>
                <w:bCs/>
                <w:color w:val="auto"/>
                <w:sz w:val="21"/>
                <w:szCs w:val="21"/>
                <w:highlight w:val="none"/>
                <w:lang w:val="en-US" w:eastAsia="zh-CN"/>
              </w:rPr>
              <w:t>并加盖供应商公章</w:t>
            </w:r>
            <w:r>
              <w:rPr>
                <w:rFonts w:hint="eastAsia" w:ascii="宋体" w:hAnsi="宋体" w:eastAsia="宋体" w:cs="宋体"/>
                <w:b/>
                <w:bCs/>
                <w:color w:val="auto"/>
                <w:sz w:val="21"/>
                <w:szCs w:val="21"/>
                <w:highlight w:val="none"/>
              </w:rPr>
              <w:t>，执业年限以执业资格证书签发日期至磋商之日为准。提供</w:t>
            </w:r>
            <w:r>
              <w:rPr>
                <w:rFonts w:hint="eastAsia" w:ascii="宋体" w:hAnsi="宋体" w:eastAsia="宋体" w:cs="宋体"/>
                <w:b/>
                <w:bCs/>
                <w:color w:val="auto"/>
                <w:sz w:val="21"/>
                <w:szCs w:val="21"/>
                <w:highlight w:val="none"/>
                <w:lang w:val="en-US" w:eastAsia="zh-CN"/>
              </w:rPr>
              <w:t>供应商</w:t>
            </w:r>
            <w:r>
              <w:rPr>
                <w:rFonts w:hint="eastAsia" w:ascii="宋体" w:hAnsi="宋体" w:eastAsia="宋体" w:cs="宋体"/>
                <w:b/>
                <w:bCs/>
                <w:color w:val="auto"/>
                <w:sz w:val="21"/>
                <w:szCs w:val="21"/>
                <w:highlight w:val="none"/>
              </w:rPr>
              <w:t>近三个月内任意一个月（自磋商之日起往前推算）为</w:t>
            </w:r>
            <w:r>
              <w:rPr>
                <w:rFonts w:hint="eastAsia" w:ascii="宋体" w:hAnsi="宋体" w:eastAsia="宋体" w:cs="宋体"/>
                <w:b/>
                <w:bCs/>
                <w:color w:val="auto"/>
                <w:sz w:val="21"/>
                <w:szCs w:val="21"/>
                <w:highlight w:val="none"/>
                <w:lang w:val="en-US" w:eastAsia="zh-CN"/>
              </w:rPr>
              <w:t>其</w:t>
            </w:r>
            <w:r>
              <w:rPr>
                <w:rFonts w:hint="eastAsia" w:ascii="宋体" w:hAnsi="宋体" w:eastAsia="宋体" w:cs="宋体"/>
                <w:b/>
                <w:bCs/>
                <w:color w:val="auto"/>
                <w:sz w:val="21"/>
                <w:szCs w:val="21"/>
                <w:highlight w:val="none"/>
              </w:rPr>
              <w:t>缴纳的社保证明。</w:t>
            </w:r>
          </w:p>
        </w:tc>
        <w:tc>
          <w:tcPr>
            <w:tcW w:w="393" w:type="pct"/>
            <w:vAlign w:val="center"/>
          </w:tcPr>
          <w:p w14:paraId="0814C7B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bCs/>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12</w:t>
            </w:r>
          </w:p>
        </w:tc>
      </w:tr>
      <w:tr w14:paraId="6298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shd w:val="clear" w:color="auto" w:fill="auto"/>
            <w:vAlign w:val="center"/>
          </w:tcPr>
          <w:p w14:paraId="3E037F46">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rPr>
              <w:t>4</w:t>
            </w:r>
          </w:p>
        </w:tc>
        <w:tc>
          <w:tcPr>
            <w:tcW w:w="643" w:type="pct"/>
            <w:vAlign w:val="center"/>
          </w:tcPr>
          <w:p w14:paraId="4C69147F">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lang w:val="en-US" w:eastAsia="zh-CN"/>
              </w:rPr>
              <w:t>项目团队</w:t>
            </w:r>
          </w:p>
        </w:tc>
        <w:tc>
          <w:tcPr>
            <w:tcW w:w="3707" w:type="pct"/>
            <w:vAlign w:val="center"/>
          </w:tcPr>
          <w:p w14:paraId="3350320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项目组成员中</w:t>
            </w:r>
            <w:r>
              <w:rPr>
                <w:rFonts w:hint="eastAsia" w:ascii="宋体" w:hAnsi="宋体" w:cs="宋体"/>
                <w:color w:val="auto"/>
                <w:sz w:val="21"/>
                <w:szCs w:val="21"/>
                <w:highlight w:val="none"/>
                <w:lang w:val="en-US" w:eastAsia="zh-CN"/>
              </w:rPr>
              <w:t>具有</w:t>
            </w:r>
            <w:r>
              <w:rPr>
                <w:rFonts w:hint="eastAsia" w:ascii="宋体" w:hAnsi="宋体" w:eastAsia="宋体" w:cs="宋体"/>
                <w:color w:val="auto"/>
                <w:sz w:val="21"/>
                <w:szCs w:val="21"/>
                <w:highlight w:val="none"/>
                <w:lang w:val="en-US" w:eastAsia="zh-CN"/>
              </w:rPr>
              <w:t>国家注册一级造价工程师（或原国家注册造价工程师）的，</w:t>
            </w:r>
            <w:r>
              <w:rPr>
                <w:rFonts w:hint="eastAsia" w:ascii="宋体" w:hAnsi="宋体" w:cs="宋体"/>
                <w:color w:val="auto"/>
                <w:sz w:val="21"/>
                <w:szCs w:val="21"/>
                <w:highlight w:val="none"/>
                <w:lang w:val="en-US" w:eastAsia="zh-CN"/>
              </w:rPr>
              <w:t>每</w:t>
            </w:r>
            <w:r>
              <w:rPr>
                <w:rFonts w:hint="eastAsia" w:ascii="宋体" w:hAnsi="宋体" w:eastAsia="宋体" w:cs="宋体"/>
                <w:color w:val="auto"/>
                <w:sz w:val="21"/>
                <w:szCs w:val="21"/>
                <w:highlight w:val="none"/>
                <w:lang w:val="en-US" w:eastAsia="zh-CN"/>
              </w:rPr>
              <w:t>有1人得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分；取得国家注册二级造价工程师的，</w:t>
            </w:r>
            <w:r>
              <w:rPr>
                <w:rFonts w:hint="eastAsia" w:ascii="宋体" w:hAnsi="宋体" w:cs="宋体"/>
                <w:color w:val="auto"/>
                <w:sz w:val="21"/>
                <w:szCs w:val="21"/>
                <w:highlight w:val="none"/>
                <w:lang w:val="en-US" w:eastAsia="zh-CN"/>
              </w:rPr>
              <w:t>每</w:t>
            </w:r>
            <w:r>
              <w:rPr>
                <w:rFonts w:hint="eastAsia" w:ascii="宋体" w:hAnsi="宋体" w:eastAsia="宋体" w:cs="宋体"/>
                <w:color w:val="auto"/>
                <w:sz w:val="21"/>
                <w:szCs w:val="21"/>
                <w:highlight w:val="none"/>
                <w:lang w:val="en-US" w:eastAsia="zh-CN"/>
              </w:rPr>
              <w:t>有1人得2分。本项最高得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w:t>
            </w:r>
          </w:p>
          <w:p w14:paraId="0D39E3C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项目组成员（除项目负责人外）具有建设工程类高级及以上职称，</w:t>
            </w:r>
            <w:r>
              <w:rPr>
                <w:rFonts w:hint="eastAsia" w:ascii="宋体" w:hAnsi="宋体" w:cs="宋体"/>
                <w:color w:val="auto"/>
                <w:sz w:val="21"/>
                <w:szCs w:val="21"/>
                <w:highlight w:val="none"/>
                <w:lang w:val="en-US" w:eastAsia="zh-CN"/>
              </w:rPr>
              <w:t>每</w:t>
            </w:r>
            <w:r>
              <w:rPr>
                <w:rFonts w:hint="eastAsia" w:ascii="宋体" w:hAnsi="宋体" w:eastAsia="宋体" w:cs="宋体"/>
                <w:color w:val="auto"/>
                <w:sz w:val="21"/>
                <w:szCs w:val="21"/>
                <w:highlight w:val="none"/>
                <w:lang w:val="en-US" w:eastAsia="zh-CN"/>
              </w:rPr>
              <w:t>有1人得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分，具有建设工程类中级职称，</w:t>
            </w:r>
            <w:r>
              <w:rPr>
                <w:rFonts w:hint="eastAsia" w:ascii="宋体" w:hAnsi="宋体" w:cs="宋体"/>
                <w:color w:val="auto"/>
                <w:sz w:val="21"/>
                <w:szCs w:val="21"/>
                <w:highlight w:val="none"/>
                <w:lang w:val="en-US" w:eastAsia="zh-CN"/>
              </w:rPr>
              <w:t>每</w:t>
            </w:r>
            <w:r>
              <w:rPr>
                <w:rFonts w:hint="eastAsia" w:ascii="宋体" w:hAnsi="宋体" w:eastAsia="宋体" w:cs="宋体"/>
                <w:color w:val="auto"/>
                <w:sz w:val="21"/>
                <w:szCs w:val="21"/>
                <w:highlight w:val="none"/>
                <w:lang w:val="en-US" w:eastAsia="zh-CN"/>
              </w:rPr>
              <w:t>有</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人得2分</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本项最高得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w:t>
            </w:r>
          </w:p>
          <w:p w14:paraId="54BBF72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项目组成员（除项目负责人外）具有国家注册咨询工程师（投资）、国家注册监理工程师</w:t>
            </w:r>
            <w:r>
              <w:rPr>
                <w:rFonts w:hint="eastAsia" w:ascii="宋体" w:hAnsi="宋体" w:cs="宋体"/>
                <w:color w:val="auto"/>
                <w:sz w:val="21"/>
                <w:szCs w:val="21"/>
                <w:highlight w:val="none"/>
                <w:lang w:val="en-US" w:eastAsia="zh-CN"/>
              </w:rPr>
              <w:t>或</w:t>
            </w:r>
            <w:r>
              <w:rPr>
                <w:rFonts w:hint="eastAsia" w:ascii="宋体" w:hAnsi="宋体" w:eastAsia="宋体" w:cs="宋体"/>
                <w:color w:val="auto"/>
                <w:sz w:val="21"/>
                <w:szCs w:val="21"/>
                <w:highlight w:val="none"/>
                <w:lang w:val="en-US" w:eastAsia="zh-CN"/>
              </w:rPr>
              <w:t>一级注册建造师的，</w:t>
            </w:r>
            <w:r>
              <w:rPr>
                <w:rFonts w:hint="eastAsia" w:ascii="宋体" w:hAnsi="宋体" w:cs="宋体"/>
                <w:color w:val="auto"/>
                <w:sz w:val="21"/>
                <w:szCs w:val="21"/>
                <w:highlight w:val="none"/>
                <w:lang w:val="en-US" w:eastAsia="zh-CN"/>
              </w:rPr>
              <w:t>每</w:t>
            </w:r>
            <w:r>
              <w:rPr>
                <w:rFonts w:hint="eastAsia" w:ascii="宋体" w:hAnsi="宋体" w:eastAsia="宋体" w:cs="宋体"/>
                <w:color w:val="auto"/>
                <w:sz w:val="21"/>
                <w:szCs w:val="21"/>
                <w:highlight w:val="none"/>
                <w:lang w:val="en-US" w:eastAsia="zh-CN"/>
              </w:rPr>
              <w:t>有1人得3分，本项最高得6分。</w:t>
            </w:r>
          </w:p>
          <w:p w14:paraId="0923EDBA">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hint="eastAsia"/>
                <w:color w:val="auto"/>
                <w:highlight w:val="none"/>
                <w:lang w:val="en-US" w:eastAsia="zh-CN"/>
              </w:rPr>
            </w:pPr>
            <w:r>
              <w:rPr>
                <w:rFonts w:hint="eastAsia" w:ascii="宋体" w:hAnsi="宋体" w:eastAsia="宋体" w:cs="宋体"/>
                <w:b/>
                <w:bCs/>
                <w:color w:val="auto"/>
                <w:sz w:val="21"/>
                <w:szCs w:val="21"/>
                <w:highlight w:val="none"/>
                <w:lang w:val="en-US" w:eastAsia="zh-CN"/>
              </w:rPr>
              <w:t>同一人不重复得分。</w:t>
            </w:r>
            <w:r>
              <w:rPr>
                <w:rFonts w:hint="eastAsia" w:ascii="宋体" w:hAnsi="宋体" w:eastAsia="宋体" w:cs="宋体"/>
                <w:b/>
                <w:bCs/>
                <w:color w:val="auto"/>
                <w:sz w:val="21"/>
                <w:szCs w:val="21"/>
                <w:highlight w:val="none"/>
              </w:rPr>
              <w:t>提供证书复印件</w:t>
            </w:r>
            <w:r>
              <w:rPr>
                <w:rFonts w:hint="eastAsia" w:ascii="宋体" w:hAnsi="宋体" w:eastAsia="宋体" w:cs="宋体"/>
                <w:b/>
                <w:bCs/>
                <w:color w:val="auto"/>
                <w:sz w:val="21"/>
                <w:szCs w:val="21"/>
                <w:highlight w:val="none"/>
                <w:lang w:val="en-US" w:eastAsia="zh-CN"/>
              </w:rPr>
              <w:t>并加盖供应商公章</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及供应商</w:t>
            </w:r>
            <w:r>
              <w:rPr>
                <w:rFonts w:hint="eastAsia" w:ascii="宋体" w:hAnsi="宋体" w:eastAsia="宋体" w:cs="宋体"/>
                <w:b/>
                <w:bCs/>
                <w:color w:val="auto"/>
                <w:sz w:val="21"/>
                <w:szCs w:val="21"/>
                <w:highlight w:val="none"/>
              </w:rPr>
              <w:t>近三个月内任意一个月（自磋商之日起往前推算）为</w:t>
            </w:r>
            <w:r>
              <w:rPr>
                <w:rFonts w:hint="eastAsia" w:ascii="宋体" w:hAnsi="宋体" w:eastAsia="宋体" w:cs="宋体"/>
                <w:b/>
                <w:bCs/>
                <w:color w:val="auto"/>
                <w:sz w:val="21"/>
                <w:szCs w:val="21"/>
                <w:highlight w:val="none"/>
                <w:lang w:val="en-US" w:eastAsia="zh-CN"/>
              </w:rPr>
              <w:t>其</w:t>
            </w:r>
            <w:r>
              <w:rPr>
                <w:rFonts w:hint="eastAsia" w:ascii="宋体" w:hAnsi="宋体" w:eastAsia="宋体" w:cs="宋体"/>
                <w:b/>
                <w:bCs/>
                <w:color w:val="auto"/>
                <w:sz w:val="21"/>
                <w:szCs w:val="21"/>
                <w:highlight w:val="none"/>
              </w:rPr>
              <w:t>缴纳的社保证明。</w:t>
            </w:r>
          </w:p>
        </w:tc>
        <w:tc>
          <w:tcPr>
            <w:tcW w:w="393" w:type="pct"/>
            <w:vAlign w:val="center"/>
          </w:tcPr>
          <w:p w14:paraId="3994121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bCs/>
                <w:color w:val="auto"/>
                <w:kern w:val="1"/>
                <w:sz w:val="21"/>
                <w:szCs w:val="21"/>
                <w:highlight w:val="none"/>
                <w:lang w:val="en-US" w:eastAsia="zh-CN"/>
              </w:rPr>
            </w:pPr>
            <w:r>
              <w:rPr>
                <w:rFonts w:hint="eastAsia" w:ascii="宋体" w:hAnsi="宋体" w:cs="宋体"/>
                <w:i w:val="0"/>
                <w:iCs w:val="0"/>
                <w:color w:val="auto"/>
                <w:kern w:val="0"/>
                <w:sz w:val="21"/>
                <w:szCs w:val="21"/>
                <w:highlight w:val="none"/>
                <w:u w:val="none"/>
                <w:lang w:val="en-US" w:eastAsia="zh-CN" w:bidi="ar"/>
              </w:rPr>
              <w:t>18</w:t>
            </w:r>
          </w:p>
        </w:tc>
      </w:tr>
      <w:tr w14:paraId="7725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shd w:val="clear" w:color="auto" w:fill="auto"/>
            <w:vAlign w:val="center"/>
          </w:tcPr>
          <w:p w14:paraId="41659668">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rPr>
              <w:t>5</w:t>
            </w:r>
          </w:p>
        </w:tc>
        <w:tc>
          <w:tcPr>
            <w:tcW w:w="643" w:type="pct"/>
            <w:vAlign w:val="center"/>
          </w:tcPr>
          <w:p w14:paraId="3F032203">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1"/>
                <w:sz w:val="21"/>
                <w:szCs w:val="21"/>
                <w:highlight w:val="none"/>
                <w:lang w:val="en-US"/>
              </w:rPr>
            </w:pPr>
            <w:r>
              <w:rPr>
                <w:rFonts w:hint="eastAsia" w:ascii="宋体" w:hAnsi="宋体" w:eastAsia="宋体" w:cs="宋体"/>
                <w:color w:val="auto"/>
                <w:kern w:val="1"/>
                <w:sz w:val="21"/>
                <w:szCs w:val="21"/>
                <w:highlight w:val="none"/>
                <w:lang w:val="en-US"/>
              </w:rPr>
              <w:t>获奖及信誉</w:t>
            </w:r>
          </w:p>
        </w:tc>
        <w:tc>
          <w:tcPr>
            <w:tcW w:w="3707" w:type="pct"/>
            <w:vAlign w:val="center"/>
          </w:tcPr>
          <w:p w14:paraId="294F941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近三年</w:t>
            </w:r>
            <w:r>
              <w:rPr>
                <w:rFonts w:hint="eastAsia" w:ascii="宋体" w:hAnsi="宋体" w:cs="宋体"/>
                <w:color w:val="auto"/>
                <w:highlight w:val="none"/>
              </w:rPr>
              <w:t>（自</w:t>
            </w:r>
            <w:r>
              <w:rPr>
                <w:rFonts w:hint="eastAsia" w:ascii="宋体" w:hAnsi="宋体" w:cs="宋体"/>
                <w:color w:val="auto"/>
                <w:highlight w:val="none"/>
                <w:lang w:val="en-US" w:eastAsia="zh-CN"/>
              </w:rPr>
              <w:t>磋商</w:t>
            </w:r>
            <w:r>
              <w:rPr>
                <w:rFonts w:hint="eastAsia" w:ascii="宋体" w:hAnsi="宋体" w:cs="宋体"/>
                <w:color w:val="auto"/>
                <w:highlight w:val="none"/>
              </w:rPr>
              <w:t>之日起往前推算）</w:t>
            </w:r>
            <w:r>
              <w:rPr>
                <w:rFonts w:hint="eastAsia" w:ascii="宋体" w:hAnsi="宋体" w:eastAsia="宋体" w:cs="宋体"/>
                <w:color w:val="auto"/>
                <w:sz w:val="21"/>
                <w:szCs w:val="21"/>
                <w:highlight w:val="none"/>
                <w:lang w:val="en-US" w:eastAsia="zh-CN"/>
              </w:rPr>
              <w:t>获得政府部门和行业协会与审计工作相关的奖励</w:t>
            </w:r>
            <w:r>
              <w:rPr>
                <w:rFonts w:hint="eastAsia" w:ascii="宋体" w:hAnsi="宋体" w:cs="宋体"/>
                <w:color w:val="auto"/>
                <w:sz w:val="21"/>
                <w:szCs w:val="21"/>
                <w:highlight w:val="none"/>
                <w:lang w:val="en-US" w:eastAsia="zh-CN"/>
              </w:rPr>
              <w:t>或</w:t>
            </w:r>
            <w:r>
              <w:rPr>
                <w:rFonts w:hint="eastAsia" w:ascii="宋体" w:hAnsi="宋体" w:eastAsia="宋体" w:cs="宋体"/>
                <w:color w:val="auto"/>
                <w:sz w:val="21"/>
                <w:szCs w:val="21"/>
                <w:highlight w:val="none"/>
                <w:lang w:val="en-US" w:eastAsia="zh-CN"/>
              </w:rPr>
              <w:t>表彰的，每提供一项得1分，最多得2分。</w:t>
            </w:r>
          </w:p>
          <w:p w14:paraId="7F7A9BF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近三年（自磋商之日起往前推算）在提供服务期间响应</w:t>
            </w:r>
            <w:r>
              <w:rPr>
                <w:rFonts w:hint="eastAsia" w:ascii="宋体" w:hAnsi="宋体" w:eastAsia="宋体" w:cs="宋体"/>
                <w:color w:val="auto"/>
                <w:highlight w:val="none"/>
                <w:lang w:val="en-US" w:eastAsia="zh-CN"/>
              </w:rPr>
              <w:t>及时、审计结论无误、无任何违反法律、法规和规章制度的行为且未受到所在地注册会计师行业协会执业质量检查通报的得</w:t>
            </w:r>
            <w:r>
              <w:rPr>
                <w:rFonts w:hint="eastAsia" w:ascii="宋体" w:hAnsi="宋体" w:cs="宋体"/>
                <w:color w:val="auto"/>
                <w:highlight w:val="none"/>
                <w:lang w:val="en-US" w:eastAsia="zh-CN"/>
              </w:rPr>
              <w:t>1</w:t>
            </w:r>
            <w:r>
              <w:rPr>
                <w:rFonts w:hint="eastAsia" w:ascii="宋体" w:hAnsi="宋体" w:eastAsia="宋体" w:cs="宋体"/>
                <w:color w:val="auto"/>
                <w:highlight w:val="none"/>
                <w:lang w:val="en-US" w:eastAsia="zh-CN"/>
              </w:rPr>
              <w:t>分。</w:t>
            </w:r>
          </w:p>
          <w:p w14:paraId="15CCD8C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22" w:firstLineChars="200"/>
              <w:textAlignment w:val="auto"/>
              <w:rPr>
                <w:rFonts w:hint="eastAsia"/>
                <w:color w:val="auto"/>
                <w:highlight w:val="none"/>
                <w:lang w:val="en-US" w:eastAsia="zh-CN"/>
              </w:rPr>
            </w:pPr>
            <w:r>
              <w:rPr>
                <w:rFonts w:hint="eastAsia" w:ascii="宋体" w:hAnsi="宋体" w:eastAsia="宋体" w:cs="宋体"/>
                <w:b/>
                <w:bCs/>
                <w:color w:val="auto"/>
                <w:highlight w:val="none"/>
                <w:lang w:val="en-US" w:eastAsia="zh-CN"/>
              </w:rPr>
              <w:t>获奖文件或证书复印件，时间以获奖发文时间为准。第2项由供应商提供承诺，如成交后经查实承诺不实的，终止合同并由供应商承担赔偿责任。</w:t>
            </w:r>
          </w:p>
        </w:tc>
        <w:tc>
          <w:tcPr>
            <w:tcW w:w="393" w:type="pct"/>
            <w:vAlign w:val="center"/>
          </w:tcPr>
          <w:p w14:paraId="74F9861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Cs/>
                <w:color w:val="auto"/>
                <w:kern w:val="1"/>
                <w:sz w:val="21"/>
                <w:szCs w:val="21"/>
                <w:highlight w:val="none"/>
                <w:lang w:val="en-US" w:eastAsia="zh-CN"/>
              </w:rPr>
            </w:pPr>
            <w:r>
              <w:rPr>
                <w:rFonts w:hint="eastAsia" w:ascii="宋体" w:hAnsi="宋体" w:cs="宋体"/>
                <w:i w:val="0"/>
                <w:iCs w:val="0"/>
                <w:color w:val="auto"/>
                <w:kern w:val="0"/>
                <w:sz w:val="21"/>
                <w:szCs w:val="21"/>
                <w:highlight w:val="none"/>
                <w:u w:val="none"/>
                <w:lang w:val="en-US" w:eastAsia="zh-CN" w:bidi="ar"/>
              </w:rPr>
              <w:t>3</w:t>
            </w:r>
          </w:p>
        </w:tc>
      </w:tr>
      <w:tr w14:paraId="05E5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255" w:type="pct"/>
            <w:vAlign w:val="center"/>
          </w:tcPr>
          <w:p w14:paraId="00A59FBE">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6</w:t>
            </w:r>
          </w:p>
        </w:tc>
        <w:tc>
          <w:tcPr>
            <w:tcW w:w="643" w:type="pct"/>
            <w:vAlign w:val="center"/>
          </w:tcPr>
          <w:p w14:paraId="0A8E27A5">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lang w:val="en-US" w:eastAsia="zh-CN"/>
              </w:rPr>
              <w:t>企业信用</w:t>
            </w:r>
          </w:p>
        </w:tc>
        <w:tc>
          <w:tcPr>
            <w:tcW w:w="3707" w:type="pct"/>
            <w:vAlign w:val="center"/>
          </w:tcPr>
          <w:p w14:paraId="712DA54C">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r>
              <w:rPr>
                <w:rFonts w:hint="eastAsia" w:ascii="宋体" w:hAnsi="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eastAsia="zh-CN"/>
              </w:rPr>
              <w:t>获得中国建设工程造价管理协会公布的全国工程造价咨询企业信用评价（有效期内）：AAA级的得5分、AAA-级的得3分、AA级的得1分。</w:t>
            </w:r>
          </w:p>
          <w:p w14:paraId="6FCF828E">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r>
              <w:rPr>
                <w:rFonts w:hint="eastAsia" w:ascii="宋体" w:hAnsi="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eastAsia="zh-CN"/>
              </w:rPr>
              <w:t>获得省级建设工程造价管理部门或省级建设工程造价行业协会颁布的工程造价咨询企业信用等级评价（有效期内）：AAAAA级的得5分，AAAA级的得3分，AAA级的得1分。</w:t>
            </w:r>
          </w:p>
          <w:p w14:paraId="43DE57D4">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本项最高得5分，上述两项不重复计分，投标人可任意选择其中一项参与评分。</w:t>
            </w:r>
          </w:p>
        </w:tc>
        <w:tc>
          <w:tcPr>
            <w:tcW w:w="393" w:type="pct"/>
            <w:vAlign w:val="center"/>
          </w:tcPr>
          <w:p w14:paraId="39533BB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Cs/>
                <w:color w:val="auto"/>
                <w:kern w:val="1"/>
                <w:sz w:val="21"/>
                <w:szCs w:val="21"/>
                <w:highlight w:val="none"/>
                <w:lang w:val="en-US" w:eastAsia="zh-CN"/>
              </w:rPr>
            </w:pPr>
            <w:r>
              <w:rPr>
                <w:rFonts w:hint="eastAsia" w:ascii="宋体" w:hAnsi="宋体" w:cs="宋体"/>
                <w:i w:val="0"/>
                <w:iCs w:val="0"/>
                <w:color w:val="auto"/>
                <w:kern w:val="0"/>
                <w:sz w:val="21"/>
                <w:szCs w:val="21"/>
                <w:highlight w:val="none"/>
                <w:u w:val="none"/>
                <w:lang w:val="en-US" w:eastAsia="zh-CN" w:bidi="ar"/>
              </w:rPr>
              <w:t>5</w:t>
            </w:r>
          </w:p>
        </w:tc>
      </w:tr>
      <w:tr w14:paraId="506B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4CEBF6C3">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Cs/>
                <w:color w:val="auto"/>
                <w:kern w:val="0"/>
                <w:sz w:val="21"/>
                <w:szCs w:val="21"/>
                <w:highlight w:val="none"/>
              </w:rPr>
            </w:pPr>
            <w:r>
              <w:rPr>
                <w:rFonts w:hint="eastAsia" w:ascii="宋体" w:hAnsi="宋体" w:eastAsia="宋体" w:cs="宋体"/>
                <w:b/>
                <w:color w:val="auto"/>
                <w:kern w:val="0"/>
                <w:sz w:val="21"/>
                <w:szCs w:val="21"/>
                <w:highlight w:val="none"/>
              </w:rPr>
              <w:t>三、服务</w:t>
            </w:r>
            <w:r>
              <w:rPr>
                <w:rFonts w:hint="eastAsia" w:ascii="宋体" w:hAnsi="宋体" w:eastAsia="宋体" w:cs="宋体"/>
                <w:b/>
                <w:color w:val="auto"/>
                <w:kern w:val="0"/>
                <w:sz w:val="21"/>
                <w:szCs w:val="21"/>
                <w:highlight w:val="none"/>
                <w:lang w:val="en-US" w:eastAsia="zh-CN"/>
              </w:rPr>
              <w:t>方案</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26</w:t>
            </w:r>
            <w:r>
              <w:rPr>
                <w:rFonts w:hint="eastAsia" w:ascii="宋体" w:hAnsi="宋体" w:eastAsia="宋体" w:cs="宋体"/>
                <w:b/>
                <w:bCs/>
                <w:color w:val="auto"/>
                <w:sz w:val="21"/>
                <w:szCs w:val="21"/>
                <w:highlight w:val="none"/>
              </w:rPr>
              <w:t>分）</w:t>
            </w:r>
          </w:p>
        </w:tc>
      </w:tr>
      <w:tr w14:paraId="23C1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Align w:val="center"/>
          </w:tcPr>
          <w:p w14:paraId="72309B35">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1"/>
                <w:sz w:val="21"/>
                <w:szCs w:val="21"/>
                <w:highlight w:val="none"/>
                <w:lang w:eastAsia="zh-CN"/>
              </w:rPr>
            </w:pPr>
            <w:r>
              <w:rPr>
                <w:rFonts w:hint="eastAsia" w:ascii="宋体" w:hAnsi="宋体" w:cs="宋体"/>
                <w:color w:val="auto"/>
                <w:kern w:val="1"/>
                <w:sz w:val="21"/>
                <w:szCs w:val="21"/>
                <w:highlight w:val="none"/>
                <w:lang w:val="en-US" w:eastAsia="zh-CN"/>
              </w:rPr>
              <w:t>7</w:t>
            </w:r>
          </w:p>
        </w:tc>
        <w:tc>
          <w:tcPr>
            <w:tcW w:w="643" w:type="pct"/>
            <w:vMerge w:val="restart"/>
            <w:vAlign w:val="center"/>
          </w:tcPr>
          <w:p w14:paraId="1FD84731">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审计实施方案</w:t>
            </w:r>
          </w:p>
        </w:tc>
        <w:tc>
          <w:tcPr>
            <w:tcW w:w="3707" w:type="pct"/>
            <w:vAlign w:val="center"/>
          </w:tcPr>
          <w:p w14:paraId="290F4510">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1.审计内部控制完整、详细、工作思路清晰，审计目标明确，审计工作的内容、方法得当，内部质量控制制度完善，由评标委员会综合评判。</w:t>
            </w:r>
          </w:p>
          <w:p w14:paraId="4B9134AD">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大纲全面、合理、针对性强的，得</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分；</w:t>
            </w:r>
          </w:p>
          <w:p w14:paraId="5155F59A">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大纲较全面、较合理、针对性较强的，得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分；</w:t>
            </w:r>
          </w:p>
          <w:p w14:paraId="7DE983F1">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大纲全面性、合理性有欠缺，针对性一般的，得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分；</w:t>
            </w:r>
          </w:p>
          <w:p w14:paraId="5BFCDF7E">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不符合招标文件要求或不提供的不得分。</w:t>
            </w:r>
          </w:p>
        </w:tc>
        <w:tc>
          <w:tcPr>
            <w:tcW w:w="393" w:type="pct"/>
            <w:vAlign w:val="center"/>
          </w:tcPr>
          <w:p w14:paraId="2C9752E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Cs/>
                <w:color w:val="auto"/>
                <w:kern w:val="1"/>
                <w:sz w:val="21"/>
                <w:szCs w:val="21"/>
                <w:highlight w:val="none"/>
                <w:lang w:val="en-US" w:eastAsia="zh-CN"/>
              </w:rPr>
            </w:pPr>
            <w:r>
              <w:rPr>
                <w:rFonts w:hint="eastAsia" w:ascii="宋体" w:hAnsi="宋体" w:cs="宋体"/>
                <w:bCs/>
                <w:color w:val="auto"/>
                <w:kern w:val="1"/>
                <w:sz w:val="21"/>
                <w:szCs w:val="21"/>
                <w:highlight w:val="none"/>
                <w:lang w:val="en-US" w:eastAsia="zh-CN"/>
              </w:rPr>
              <w:t>5</w:t>
            </w:r>
          </w:p>
        </w:tc>
      </w:tr>
      <w:tr w14:paraId="29FC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Align w:val="center"/>
          </w:tcPr>
          <w:p w14:paraId="5EBA0CA6">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1"/>
                <w:sz w:val="21"/>
                <w:szCs w:val="21"/>
                <w:highlight w:val="none"/>
                <w:lang w:eastAsia="zh-CN"/>
              </w:rPr>
            </w:pPr>
            <w:r>
              <w:rPr>
                <w:rFonts w:hint="eastAsia" w:ascii="宋体" w:hAnsi="宋体" w:cs="宋体"/>
                <w:color w:val="auto"/>
                <w:kern w:val="1"/>
                <w:sz w:val="21"/>
                <w:szCs w:val="21"/>
                <w:highlight w:val="none"/>
                <w:lang w:val="en-US" w:eastAsia="zh-CN"/>
              </w:rPr>
              <w:t>8</w:t>
            </w:r>
          </w:p>
        </w:tc>
        <w:tc>
          <w:tcPr>
            <w:tcW w:w="643" w:type="pct"/>
            <w:vMerge w:val="continue"/>
            <w:vAlign w:val="center"/>
          </w:tcPr>
          <w:p w14:paraId="033F321B">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1"/>
                <w:sz w:val="21"/>
                <w:szCs w:val="21"/>
                <w:highlight w:val="none"/>
              </w:rPr>
            </w:pPr>
          </w:p>
        </w:tc>
        <w:tc>
          <w:tcPr>
            <w:tcW w:w="3707" w:type="pct"/>
            <w:vAlign w:val="center"/>
          </w:tcPr>
          <w:p w14:paraId="260323D7">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2.项目组人员岗位方案职责明确，安排合理，由评标委员会综合评判。</w:t>
            </w:r>
          </w:p>
          <w:p w14:paraId="221AD35D">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方案全面、合理、针对性强的，得5分；</w:t>
            </w:r>
          </w:p>
          <w:p w14:paraId="29A09C72">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方案较全面、较合理、针对性较强的，得3分；</w:t>
            </w:r>
          </w:p>
          <w:p w14:paraId="23CDD765">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内容全面性、合理性有欠缺，针对性一般的，得1分；</w:t>
            </w:r>
          </w:p>
          <w:p w14:paraId="141DFD32">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不符合招标文件要求或不提供的不得分。</w:t>
            </w:r>
          </w:p>
        </w:tc>
        <w:tc>
          <w:tcPr>
            <w:tcW w:w="393" w:type="pct"/>
            <w:vAlign w:val="center"/>
          </w:tcPr>
          <w:p w14:paraId="1FB59DB2">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Cs/>
                <w:color w:val="auto"/>
                <w:kern w:val="1"/>
                <w:sz w:val="21"/>
                <w:szCs w:val="21"/>
                <w:highlight w:val="none"/>
                <w:lang w:val="en-US" w:eastAsia="zh-CN"/>
              </w:rPr>
            </w:pPr>
            <w:r>
              <w:rPr>
                <w:rFonts w:hint="eastAsia" w:ascii="宋体" w:hAnsi="宋体" w:cs="宋体"/>
                <w:bCs/>
                <w:color w:val="auto"/>
                <w:kern w:val="1"/>
                <w:sz w:val="21"/>
                <w:szCs w:val="21"/>
                <w:highlight w:val="none"/>
                <w:lang w:val="en-US" w:eastAsia="zh-CN"/>
              </w:rPr>
              <w:t>5</w:t>
            </w:r>
          </w:p>
        </w:tc>
      </w:tr>
      <w:tr w14:paraId="5F99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Align w:val="center"/>
          </w:tcPr>
          <w:p w14:paraId="25D4DB45">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9</w:t>
            </w:r>
          </w:p>
        </w:tc>
        <w:tc>
          <w:tcPr>
            <w:tcW w:w="643" w:type="pct"/>
            <w:vMerge w:val="continue"/>
            <w:vAlign w:val="center"/>
          </w:tcPr>
          <w:p w14:paraId="248AB4C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1"/>
                <w:sz w:val="21"/>
                <w:szCs w:val="21"/>
                <w:highlight w:val="none"/>
              </w:rPr>
            </w:pPr>
          </w:p>
        </w:tc>
        <w:tc>
          <w:tcPr>
            <w:tcW w:w="3707" w:type="pct"/>
            <w:vAlign w:val="center"/>
          </w:tcPr>
          <w:p w14:paraId="2C20DF03">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3.审计质量控制科学合理、全面详细，</w:t>
            </w:r>
            <w:r>
              <w:rPr>
                <w:rFonts w:hint="eastAsia" w:ascii="宋体" w:hAnsi="宋体" w:eastAsia="宋体" w:cs="宋体"/>
                <w:color w:val="auto"/>
                <w:sz w:val="21"/>
                <w:szCs w:val="21"/>
                <w:highlight w:val="none"/>
                <w:lang w:val="en-US" w:eastAsia="zh-CN"/>
              </w:rPr>
              <w:t>由评标委员会综合评判。</w:t>
            </w:r>
          </w:p>
          <w:p w14:paraId="722AC13B">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方案科学合理、全面详细的得4分；</w:t>
            </w:r>
          </w:p>
          <w:p w14:paraId="201EC388">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方案较科学合理、较全面详细的得2.5分；</w:t>
            </w:r>
          </w:p>
          <w:p w14:paraId="24AFB6FA">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方案科学性、合理性或全面性有欠缺的得1分；</w:t>
            </w:r>
          </w:p>
          <w:p w14:paraId="243DB674">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不符合招标文件要求或不提供的不得分。</w:t>
            </w:r>
          </w:p>
        </w:tc>
        <w:tc>
          <w:tcPr>
            <w:tcW w:w="393" w:type="pct"/>
            <w:vAlign w:val="center"/>
          </w:tcPr>
          <w:p w14:paraId="7F798A45">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Cs/>
                <w:color w:val="auto"/>
                <w:kern w:val="1"/>
                <w:sz w:val="21"/>
                <w:szCs w:val="21"/>
                <w:highlight w:val="none"/>
                <w:lang w:val="en-US" w:eastAsia="zh-CN"/>
              </w:rPr>
            </w:pPr>
            <w:r>
              <w:rPr>
                <w:rFonts w:hint="eastAsia" w:ascii="宋体" w:hAnsi="宋体" w:cs="宋体"/>
                <w:bCs/>
                <w:color w:val="auto"/>
                <w:kern w:val="1"/>
                <w:sz w:val="21"/>
                <w:szCs w:val="21"/>
                <w:highlight w:val="none"/>
                <w:lang w:val="en-US" w:eastAsia="zh-CN"/>
              </w:rPr>
              <w:t>4</w:t>
            </w:r>
          </w:p>
        </w:tc>
      </w:tr>
      <w:tr w14:paraId="0B02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Align w:val="center"/>
          </w:tcPr>
          <w:p w14:paraId="6C094B8E">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10</w:t>
            </w:r>
          </w:p>
        </w:tc>
        <w:tc>
          <w:tcPr>
            <w:tcW w:w="643" w:type="pct"/>
            <w:vMerge w:val="continue"/>
            <w:vAlign w:val="center"/>
          </w:tcPr>
          <w:p w14:paraId="3BB00F0B">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1"/>
                <w:sz w:val="21"/>
                <w:szCs w:val="21"/>
                <w:highlight w:val="none"/>
              </w:rPr>
            </w:pPr>
          </w:p>
        </w:tc>
        <w:tc>
          <w:tcPr>
            <w:tcW w:w="3707" w:type="pct"/>
            <w:vAlign w:val="center"/>
          </w:tcPr>
          <w:p w14:paraId="6094F81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审计进度控制科学合理、全面具体，由评标委员会综合评判。</w:t>
            </w:r>
          </w:p>
          <w:p w14:paraId="3344014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方案科学合理、全面具体的得4分；</w:t>
            </w:r>
          </w:p>
          <w:p w14:paraId="5234256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方案较科学合理、较全面具体的得2.5分；</w:t>
            </w:r>
          </w:p>
          <w:p w14:paraId="13B6978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方案科学性、合理性或全面性有欠缺的得1分；</w:t>
            </w:r>
          </w:p>
          <w:p w14:paraId="6854FDE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不符合招标文件要求或不提供的不得分。</w:t>
            </w:r>
          </w:p>
        </w:tc>
        <w:tc>
          <w:tcPr>
            <w:tcW w:w="393" w:type="pct"/>
            <w:vAlign w:val="center"/>
          </w:tcPr>
          <w:p w14:paraId="63C8D20C">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Cs/>
                <w:color w:val="auto"/>
                <w:kern w:val="1"/>
                <w:sz w:val="21"/>
                <w:szCs w:val="21"/>
                <w:highlight w:val="none"/>
                <w:lang w:val="en-US" w:eastAsia="zh-CN"/>
              </w:rPr>
            </w:pPr>
            <w:r>
              <w:rPr>
                <w:rFonts w:hint="eastAsia" w:ascii="宋体" w:hAnsi="宋体" w:cs="宋体"/>
                <w:bCs/>
                <w:color w:val="auto"/>
                <w:kern w:val="1"/>
                <w:sz w:val="21"/>
                <w:szCs w:val="21"/>
                <w:highlight w:val="none"/>
                <w:lang w:val="en-US" w:eastAsia="zh-CN"/>
              </w:rPr>
              <w:t>4</w:t>
            </w:r>
          </w:p>
        </w:tc>
      </w:tr>
      <w:tr w14:paraId="3D9AD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Align w:val="center"/>
          </w:tcPr>
          <w:p w14:paraId="782A939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11</w:t>
            </w:r>
          </w:p>
        </w:tc>
        <w:tc>
          <w:tcPr>
            <w:tcW w:w="643" w:type="pct"/>
            <w:vMerge w:val="continue"/>
            <w:shd w:val="clear" w:color="auto" w:fill="auto"/>
            <w:vAlign w:val="center"/>
          </w:tcPr>
          <w:p w14:paraId="0806D8D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Cs/>
                <w:color w:val="auto"/>
                <w:kern w:val="2"/>
                <w:sz w:val="21"/>
                <w:szCs w:val="21"/>
                <w:highlight w:val="none"/>
                <w:lang w:val="en-US" w:eastAsia="zh-CN" w:bidi="ar-SA"/>
              </w:rPr>
            </w:pPr>
          </w:p>
        </w:tc>
        <w:tc>
          <w:tcPr>
            <w:tcW w:w="3707" w:type="pct"/>
            <w:shd w:val="clear" w:color="auto" w:fill="auto"/>
            <w:vAlign w:val="center"/>
          </w:tcPr>
          <w:p w14:paraId="5428C73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20" w:firstLineChars="200"/>
              <w:textAlignment w:val="auto"/>
              <w:rPr>
                <w:rFonts w:hint="default" w:ascii="宋体" w:hAnsi="宋体" w:cs="宋体"/>
                <w:bCs w:val="0"/>
                <w:color w:val="auto"/>
                <w:sz w:val="21"/>
                <w:szCs w:val="21"/>
                <w:highlight w:val="none"/>
                <w:lang w:val="en-US" w:eastAsia="zh-CN"/>
              </w:rPr>
            </w:pPr>
            <w:r>
              <w:rPr>
                <w:rFonts w:hint="eastAsia" w:ascii="宋体" w:hAnsi="宋体" w:eastAsia="宋体" w:cs="宋体"/>
                <w:bCs w:val="0"/>
                <w:color w:val="auto"/>
                <w:kern w:val="2"/>
                <w:sz w:val="21"/>
                <w:szCs w:val="21"/>
                <w:highlight w:val="none"/>
                <w:lang w:val="en-US" w:eastAsia="zh-CN" w:bidi="ar-SA"/>
              </w:rPr>
              <w:t>5.</w:t>
            </w:r>
            <w:r>
              <w:rPr>
                <w:rFonts w:hint="eastAsia" w:ascii="宋体" w:hAnsi="宋体" w:cs="宋体"/>
                <w:bCs w:val="0"/>
                <w:color w:val="auto"/>
                <w:sz w:val="21"/>
                <w:szCs w:val="21"/>
                <w:highlight w:val="none"/>
                <w:lang w:val="en-US" w:eastAsia="zh-CN"/>
              </w:rPr>
              <w:t>审计责任管理清晰明确、分工合理，由评标委员会综合评判。</w:t>
            </w:r>
          </w:p>
          <w:p w14:paraId="0B2CC78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方案清晰明确、分工合理的得4分；</w:t>
            </w:r>
          </w:p>
          <w:p w14:paraId="316A8F5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方案较清晰明确、分工较合理的得2.5分；</w:t>
            </w:r>
          </w:p>
          <w:p w14:paraId="4A22DE7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方案清晰度、合理性或分工有欠缺的得1分；</w:t>
            </w:r>
          </w:p>
          <w:p w14:paraId="5BCD25E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20" w:firstLineChars="200"/>
              <w:textAlignment w:val="auto"/>
              <w:rPr>
                <w:rFonts w:hint="default"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不符合招标文件要求或不提供的不得分。</w:t>
            </w:r>
          </w:p>
        </w:tc>
        <w:tc>
          <w:tcPr>
            <w:tcW w:w="393" w:type="pct"/>
            <w:vAlign w:val="center"/>
          </w:tcPr>
          <w:p w14:paraId="0941BD8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Cs/>
                <w:color w:val="auto"/>
                <w:kern w:val="1"/>
                <w:sz w:val="21"/>
                <w:szCs w:val="21"/>
                <w:highlight w:val="none"/>
                <w:lang w:val="en-US" w:eastAsia="zh-CN"/>
              </w:rPr>
            </w:pPr>
            <w:r>
              <w:rPr>
                <w:rFonts w:hint="eastAsia" w:ascii="宋体" w:hAnsi="宋体" w:cs="宋体"/>
                <w:bCs/>
                <w:color w:val="auto"/>
                <w:kern w:val="1"/>
                <w:sz w:val="21"/>
                <w:szCs w:val="21"/>
                <w:highlight w:val="none"/>
                <w:lang w:val="en-US" w:eastAsia="zh-CN"/>
              </w:rPr>
              <w:t>4</w:t>
            </w:r>
          </w:p>
        </w:tc>
      </w:tr>
      <w:tr w14:paraId="078F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Align w:val="center"/>
          </w:tcPr>
          <w:p w14:paraId="70E2FF8C">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12</w:t>
            </w:r>
          </w:p>
        </w:tc>
        <w:tc>
          <w:tcPr>
            <w:tcW w:w="643" w:type="pct"/>
            <w:vAlign w:val="center"/>
          </w:tcPr>
          <w:p w14:paraId="5795C18B">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合理化建议</w:t>
            </w:r>
          </w:p>
        </w:tc>
        <w:tc>
          <w:tcPr>
            <w:tcW w:w="3707" w:type="pct"/>
            <w:vAlign w:val="center"/>
          </w:tcPr>
          <w:p w14:paraId="4F24A83A">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针对本项目特点，结合以往审计经验，对项目审计过程中的重点、难点、关键点和具体的控制措施提出合理措施及建议，由评标委员会综合评判。</w:t>
            </w:r>
          </w:p>
          <w:p w14:paraId="28F1237A">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明确提出合理措施及建议，建议针对性强的，得4分；</w:t>
            </w:r>
          </w:p>
          <w:p w14:paraId="77845585">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措施及建议较合理，建议针对性较强的得2</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分；</w:t>
            </w:r>
          </w:p>
          <w:p w14:paraId="6723DCFC">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措施及建议一般的，建议针对性一般的，得1分；</w:t>
            </w:r>
          </w:p>
          <w:p w14:paraId="583E0E3E">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不符合投标文件要求或不提供的不得分。</w:t>
            </w:r>
          </w:p>
        </w:tc>
        <w:tc>
          <w:tcPr>
            <w:tcW w:w="393" w:type="pct"/>
            <w:vAlign w:val="center"/>
          </w:tcPr>
          <w:p w14:paraId="0FF78C92">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Cs/>
                <w:color w:val="auto"/>
                <w:kern w:val="1"/>
                <w:sz w:val="21"/>
                <w:szCs w:val="21"/>
                <w:highlight w:val="none"/>
                <w:lang w:val="en-US" w:eastAsia="zh-CN"/>
              </w:rPr>
            </w:pPr>
            <w:r>
              <w:rPr>
                <w:rFonts w:hint="eastAsia" w:ascii="宋体" w:hAnsi="宋体" w:cs="宋体"/>
                <w:bCs/>
                <w:color w:val="auto"/>
                <w:kern w:val="1"/>
                <w:sz w:val="21"/>
                <w:szCs w:val="21"/>
                <w:highlight w:val="none"/>
                <w:lang w:val="en-US" w:eastAsia="zh-CN"/>
              </w:rPr>
              <w:t>4</w:t>
            </w:r>
          </w:p>
        </w:tc>
      </w:tr>
    </w:tbl>
    <w:p w14:paraId="3392838E">
      <w:pPr>
        <w:snapToGrid w:val="0"/>
        <w:spacing w:line="360" w:lineRule="exact"/>
        <w:ind w:firstLine="420" w:firstLineChars="200"/>
        <w:rPr>
          <w:rFonts w:ascii="宋体" w:hAnsi="宋体" w:cs="宋体"/>
          <w:bCs/>
          <w:color w:val="auto"/>
          <w:szCs w:val="21"/>
          <w:highlight w:val="none"/>
        </w:rPr>
      </w:pPr>
    </w:p>
    <w:p w14:paraId="0AE42C3B">
      <w:pPr>
        <w:tabs>
          <w:tab w:val="left" w:pos="5940"/>
        </w:tabs>
        <w:snapToGrid w:val="0"/>
        <w:spacing w:line="360" w:lineRule="exact"/>
        <w:jc w:val="left"/>
        <w:rPr>
          <w:rFonts w:ascii="宋体" w:hAnsi="宋体" w:cs="宋体"/>
          <w:bCs/>
          <w:color w:val="auto"/>
          <w:szCs w:val="21"/>
          <w:highlight w:val="none"/>
        </w:rPr>
      </w:pPr>
    </w:p>
    <w:p w14:paraId="7FF89F72">
      <w:pPr>
        <w:tabs>
          <w:tab w:val="left" w:pos="5940"/>
        </w:tabs>
        <w:snapToGrid w:val="0"/>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 xml:space="preserve">注： </w:t>
      </w:r>
    </w:p>
    <w:p w14:paraId="17C066CD">
      <w:pPr>
        <w:tabs>
          <w:tab w:val="left" w:pos="5940"/>
        </w:tabs>
        <w:snapToGrid w:val="0"/>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1.评分细则中要求提供的证明文件及资料等在磋商响应文件中提供复印件并加盖鲜章，要求“原件或公证件核查”的必须将原件或公证件携带至开标现场核查，否则不得分。</w:t>
      </w:r>
    </w:p>
    <w:p w14:paraId="75E47BC6">
      <w:pPr>
        <w:tabs>
          <w:tab w:val="left" w:pos="5940"/>
        </w:tabs>
        <w:snapToGrid w:val="0"/>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2.评审时，未能按以上要求提供相应证明（复印件和原件、公证件）的，不作为评审依据，不得分。</w:t>
      </w:r>
    </w:p>
    <w:p w14:paraId="4DB03F56">
      <w:pPr>
        <w:pStyle w:val="61"/>
        <w:snapToGrid w:val="0"/>
        <w:spacing w:line="360" w:lineRule="exact"/>
        <w:ind w:firstLineChars="0"/>
        <w:rPr>
          <w:rFonts w:ascii="宋体" w:hAnsi="宋体" w:cs="宋体"/>
          <w:b/>
          <w:color w:val="auto"/>
          <w:sz w:val="21"/>
          <w:szCs w:val="21"/>
          <w:highlight w:val="none"/>
        </w:rPr>
      </w:pPr>
      <w:r>
        <w:rPr>
          <w:rFonts w:hint="eastAsia" w:ascii="宋体" w:hAnsi="宋体" w:cs="宋体"/>
          <w:bCs/>
          <w:color w:val="auto"/>
          <w:sz w:val="21"/>
          <w:szCs w:val="21"/>
          <w:highlight w:val="none"/>
        </w:rPr>
        <w:t>3.为便于评分，请供应商按评分表样式，逐条列出证明材料所在页码，格式自定。</w:t>
      </w:r>
    </w:p>
    <w:p w14:paraId="25237D2D">
      <w:pPr>
        <w:jc w:val="center"/>
        <w:rPr>
          <w:rFonts w:ascii="宋体" w:hAnsi="宋体" w:cs="宋体"/>
          <w:b/>
          <w:color w:val="auto"/>
          <w:sz w:val="30"/>
          <w:szCs w:val="30"/>
          <w:highlight w:val="none"/>
        </w:rPr>
        <w:sectPr>
          <w:headerReference r:id="rId8" w:type="first"/>
          <w:footerReference r:id="rId9" w:type="default"/>
          <w:headerReference r:id="rId7" w:type="even"/>
          <w:footerReference r:id="rId10" w:type="even"/>
          <w:pgSz w:w="11907" w:h="16839"/>
          <w:pgMar w:top="1440" w:right="1800" w:bottom="1440" w:left="1800" w:header="851" w:footer="992" w:gutter="0"/>
          <w:cols w:space="720" w:num="1"/>
          <w:docGrid w:type="lines" w:linePitch="312" w:charSpace="0"/>
        </w:sectPr>
      </w:pPr>
    </w:p>
    <w:p w14:paraId="0A22CB41">
      <w:pPr>
        <w:pStyle w:val="3"/>
        <w:rPr>
          <w:rFonts w:ascii="宋体" w:hAnsi="宋体" w:cs="宋体"/>
          <w:color w:val="auto"/>
          <w:highlight w:val="none"/>
        </w:rPr>
      </w:pPr>
      <w:r>
        <w:rPr>
          <w:rFonts w:hint="eastAsia" w:ascii="宋体" w:hAnsi="宋体" w:cs="宋体"/>
          <w:color w:val="auto"/>
          <w:highlight w:val="none"/>
        </w:rPr>
        <w:t>第五章  磋商响应文件的组成</w:t>
      </w:r>
      <w:bookmarkEnd w:id="6"/>
    </w:p>
    <w:p w14:paraId="73DC2393">
      <w:pPr>
        <w:adjustRightInd w:val="0"/>
        <w:snapToGrid w:val="0"/>
        <w:spacing w:line="360" w:lineRule="exact"/>
        <w:ind w:firstLine="424" w:firstLineChars="201"/>
        <w:outlineLvl w:val="0"/>
        <w:rPr>
          <w:rFonts w:ascii="宋体" w:hAnsi="宋体" w:cs="宋体"/>
          <w:b/>
          <w:color w:val="auto"/>
          <w:szCs w:val="21"/>
          <w:highlight w:val="none"/>
        </w:rPr>
      </w:pPr>
      <w:r>
        <w:rPr>
          <w:rFonts w:hint="eastAsia" w:ascii="宋体" w:hAnsi="宋体" w:cs="宋体"/>
          <w:b/>
          <w:color w:val="auto"/>
          <w:szCs w:val="21"/>
          <w:highlight w:val="none"/>
        </w:rPr>
        <w:t>一、资格审查材料</w:t>
      </w:r>
    </w:p>
    <w:p w14:paraId="5F4DC09E">
      <w:pPr>
        <w:adjustRightInd w:val="0"/>
        <w:snapToGrid w:val="0"/>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*1.供应商资格声明函</w:t>
      </w:r>
    </w:p>
    <w:p w14:paraId="44E352A0">
      <w:pPr>
        <w:adjustRightInd w:val="0"/>
        <w:snapToGrid w:val="0"/>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*2.磋商响应函</w:t>
      </w:r>
    </w:p>
    <w:p w14:paraId="5FE5AD2C">
      <w:pPr>
        <w:adjustRightInd w:val="0"/>
        <w:snapToGrid w:val="0"/>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*3.法人或者其他组织的营业执照等证明文件</w:t>
      </w:r>
    </w:p>
    <w:p w14:paraId="09316427">
      <w:pPr>
        <w:adjustRightInd w:val="0"/>
        <w:snapToGrid w:val="0"/>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*4.法定代表人资格证明书、法定代表人身份证复印件（双面）</w:t>
      </w:r>
    </w:p>
    <w:p w14:paraId="46DBE69D">
      <w:pPr>
        <w:adjustRightInd w:val="0"/>
        <w:snapToGrid w:val="0"/>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*5.授权委托书、代理人身份证复印件（双面）、供应商近三个月内任意一个月（自磋商之日往前推）为其缴纳社保的记录（如果有授权委托情况的，必须提供）</w:t>
      </w:r>
    </w:p>
    <w:p w14:paraId="71436E41">
      <w:pPr>
        <w:adjustRightInd w:val="0"/>
        <w:snapToGrid w:val="0"/>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*6.磋商保证金单据</w:t>
      </w:r>
    </w:p>
    <w:p w14:paraId="3D2F6CC0">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*7.提供“信用中国”网站下列查询截图：</w:t>
      </w:r>
    </w:p>
    <w:p w14:paraId="1DA4CFDC">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（1）信用记录行政处罚(www.creditchina.gov.cn)</w:t>
      </w:r>
    </w:p>
    <w:p w14:paraId="7DFE37ED">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（2）失信被执行人（https://zxgk.court.gov.cn/shixin/）</w:t>
      </w:r>
    </w:p>
    <w:p w14:paraId="01990B10">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（3）重大税收违法失信主体</w:t>
      </w:r>
    </w:p>
    <w:p w14:paraId="2B012A90">
      <w:pPr>
        <w:spacing w:line="360" w:lineRule="exact"/>
        <w:rPr>
          <w:rFonts w:ascii="宋体" w:hAnsi="宋体" w:cs="宋体"/>
          <w:color w:val="auto"/>
          <w:szCs w:val="21"/>
          <w:highlight w:val="none"/>
        </w:rPr>
      </w:pPr>
      <w:r>
        <w:rPr>
          <w:rFonts w:hint="eastAsia" w:ascii="宋体" w:hAnsi="宋体" w:cs="宋体"/>
          <w:color w:val="auto"/>
          <w:szCs w:val="21"/>
          <w:highlight w:val="none"/>
        </w:rPr>
        <w:t>（https://www.creditchina.gov.cn/zhuanxiangchaxun/zhongdashuishouweifaanjian/）</w:t>
      </w:r>
    </w:p>
    <w:p w14:paraId="2665776C">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（4）严重失信行为记录名单</w:t>
      </w:r>
    </w:p>
    <w:p w14:paraId="5857B535">
      <w:pPr>
        <w:spacing w:line="360" w:lineRule="exact"/>
        <w:rPr>
          <w:rFonts w:ascii="宋体" w:hAnsi="宋体" w:cs="宋体"/>
          <w:bCs/>
          <w:color w:val="auto"/>
          <w:szCs w:val="21"/>
          <w:highlight w:val="none"/>
        </w:rPr>
      </w:pPr>
      <w:r>
        <w:rPr>
          <w:rFonts w:hint="eastAsia" w:ascii="宋体" w:hAnsi="宋体" w:cs="宋体"/>
          <w:color w:val="auto"/>
          <w:szCs w:val="21"/>
          <w:highlight w:val="none"/>
        </w:rPr>
        <w:t>（https://www.creditchina.gov.cn/xinxigongshi/shixinheimingdan/）</w:t>
      </w:r>
    </w:p>
    <w:p w14:paraId="45244C61">
      <w:pPr>
        <w:spacing w:line="360" w:lineRule="exact"/>
        <w:ind w:firstLine="424" w:firstLineChars="201"/>
        <w:rPr>
          <w:rFonts w:ascii="宋体" w:hAnsi="宋体" w:cs="宋体"/>
          <w:color w:val="auto"/>
          <w:szCs w:val="21"/>
          <w:highlight w:val="none"/>
        </w:rPr>
      </w:pPr>
      <w:r>
        <w:rPr>
          <w:rFonts w:hint="eastAsia" w:ascii="宋体" w:hAnsi="宋体" w:cs="宋体"/>
          <w:b/>
          <w:bCs/>
          <w:color w:val="auto"/>
          <w:szCs w:val="21"/>
          <w:highlight w:val="none"/>
        </w:rPr>
        <w:t>*8.磋商供应商管理关系或控股关系信息情况表</w:t>
      </w:r>
    </w:p>
    <w:p w14:paraId="00032EB7">
      <w:pPr>
        <w:adjustRightInd w:val="0"/>
        <w:snapToGrid w:val="0"/>
        <w:spacing w:line="360" w:lineRule="exact"/>
        <w:ind w:firstLine="424" w:firstLineChars="201"/>
        <w:outlineLvl w:val="0"/>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14:paraId="1523C806">
      <w:pPr>
        <w:adjustRightInd w:val="0"/>
        <w:snapToGrid w:val="0"/>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*1.报价一览表</w:t>
      </w:r>
    </w:p>
    <w:p w14:paraId="18BD41BC">
      <w:pPr>
        <w:adjustRightInd w:val="0"/>
        <w:snapToGrid w:val="0"/>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*2磋商分项报价表</w:t>
      </w:r>
    </w:p>
    <w:p w14:paraId="0C9452C8">
      <w:pPr>
        <w:pStyle w:val="3"/>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三、技术部分材料</w:t>
      </w:r>
    </w:p>
    <w:p w14:paraId="38E8CFA7">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1.供应商简介</w:t>
      </w:r>
    </w:p>
    <w:p w14:paraId="567DD8C7">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*2.服务方案，包括人员配置、服务详细实施方案</w:t>
      </w:r>
    </w:p>
    <w:p w14:paraId="11C5BF29">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*3.服务承诺</w:t>
      </w:r>
    </w:p>
    <w:p w14:paraId="775C3998">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*4.偏离表</w:t>
      </w:r>
    </w:p>
    <w:p w14:paraId="03E29988">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5.其他评审相关资料</w:t>
      </w:r>
    </w:p>
    <w:p w14:paraId="043C21AD">
      <w:pPr>
        <w:adjustRightInd w:val="0"/>
        <w:snapToGrid w:val="0"/>
        <w:spacing w:line="360" w:lineRule="exact"/>
        <w:ind w:firstLine="424" w:firstLineChars="201"/>
        <w:outlineLvl w:val="0"/>
        <w:rPr>
          <w:rFonts w:ascii="宋体" w:hAnsi="宋体" w:cs="宋体"/>
          <w:b/>
          <w:bCs/>
          <w:color w:val="auto"/>
          <w:szCs w:val="21"/>
          <w:highlight w:val="none"/>
        </w:rPr>
      </w:pPr>
      <w:r>
        <w:rPr>
          <w:rFonts w:hint="eastAsia" w:ascii="宋体" w:hAnsi="宋体" w:cs="宋体"/>
          <w:b/>
          <w:bCs/>
          <w:color w:val="auto"/>
          <w:szCs w:val="21"/>
          <w:highlight w:val="none"/>
        </w:rPr>
        <w:t>四、说明</w:t>
      </w:r>
    </w:p>
    <w:p w14:paraId="11E4A040">
      <w:pPr>
        <w:adjustRightInd w:val="0"/>
        <w:snapToGrid w:val="0"/>
        <w:spacing w:line="360" w:lineRule="exact"/>
        <w:ind w:firstLine="422" w:firstLineChars="201"/>
        <w:rPr>
          <w:rFonts w:ascii="宋体" w:hAnsi="宋体" w:cs="宋体"/>
          <w:b/>
          <w:bCs/>
          <w:color w:val="auto"/>
          <w:szCs w:val="21"/>
          <w:highlight w:val="none"/>
        </w:rPr>
      </w:pPr>
      <w:r>
        <w:rPr>
          <w:rFonts w:hint="eastAsia" w:ascii="宋体" w:hAnsi="宋体" w:cs="宋体"/>
          <w:color w:val="auto"/>
          <w:szCs w:val="21"/>
          <w:highlight w:val="none"/>
        </w:rPr>
        <w:t>1.上述带“*”条款供应商必须在磋商响应文件中提供并加盖供应商公章，否则将作为无效响应处理。</w:t>
      </w:r>
      <w:r>
        <w:rPr>
          <w:rFonts w:hint="eastAsia" w:ascii="宋体" w:hAnsi="宋体" w:cs="宋体"/>
          <w:b/>
          <w:bCs/>
          <w:color w:val="auto"/>
          <w:szCs w:val="21"/>
          <w:highlight w:val="none"/>
        </w:rPr>
        <w:t>未加盖公章的视为未提供该项材料。所有项目若有缺失或无效将可能导致磋商无效且不允许在磋商响应文件提交截止后补正。</w:t>
      </w:r>
    </w:p>
    <w:p w14:paraId="0AE47148">
      <w:pPr>
        <w:adjustRightInd w:val="0"/>
        <w:snapToGrid w:val="0"/>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2.对本章所有的格式，供应商可根据自身情况进行补充和修改，但补充和修改不得造成与本格式内容有实质性的违背。供应商可提供其它相关的证明材料（不限于此）。</w:t>
      </w:r>
    </w:p>
    <w:p w14:paraId="78DA89F0">
      <w:pPr>
        <w:adjustRightInd w:val="0"/>
        <w:snapToGrid w:val="0"/>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3.供应商需按磋商响应文件的组成要求进行编制，同时提供评分索引表。</w:t>
      </w:r>
    </w:p>
    <w:p w14:paraId="30E9FAAB">
      <w:pPr>
        <w:rPr>
          <w:color w:val="auto"/>
          <w:highlight w:val="none"/>
        </w:rPr>
      </w:pPr>
      <w:r>
        <w:rPr>
          <w:rFonts w:hint="eastAsia"/>
          <w:color w:val="auto"/>
          <w:highlight w:val="none"/>
        </w:rPr>
        <w:br w:type="page"/>
      </w:r>
    </w:p>
    <w:p w14:paraId="2E97ACAD">
      <w:pPr>
        <w:pStyle w:val="3"/>
        <w:rPr>
          <w:rFonts w:ascii="宋体" w:hAnsi="宋体" w:cs="宋体"/>
          <w:color w:val="auto"/>
          <w:highlight w:val="none"/>
        </w:rPr>
      </w:pPr>
      <w:bookmarkStart w:id="7" w:name="_Toc17536328"/>
      <w:r>
        <w:rPr>
          <w:rFonts w:hint="eastAsia" w:ascii="宋体" w:hAnsi="宋体" w:cs="宋体"/>
          <w:color w:val="auto"/>
          <w:highlight w:val="none"/>
        </w:rPr>
        <w:t>第六章  附    件</w:t>
      </w:r>
      <w:bookmarkEnd w:id="7"/>
    </w:p>
    <w:p w14:paraId="0BC832CE">
      <w:pPr>
        <w:pStyle w:val="6"/>
        <w:spacing w:line="460" w:lineRule="exact"/>
        <w:ind w:firstLine="0"/>
        <w:outlineLvl w:val="0"/>
        <w:rPr>
          <w:b/>
          <w:color w:val="auto"/>
          <w:sz w:val="28"/>
          <w:szCs w:val="28"/>
          <w:highlight w:val="none"/>
        </w:rPr>
      </w:pPr>
      <w:r>
        <w:rPr>
          <w:rFonts w:cs="宋体"/>
          <w:b/>
          <w:color w:val="auto"/>
          <w:sz w:val="28"/>
          <w:szCs w:val="28"/>
          <w:highlight w:val="none"/>
        </w:rPr>
        <w:t>1</w:t>
      </w:r>
      <w:r>
        <w:rPr>
          <w:rFonts w:hint="eastAsia" w:cs="宋体"/>
          <w:b/>
          <w:color w:val="auto"/>
          <w:sz w:val="28"/>
          <w:szCs w:val="28"/>
          <w:highlight w:val="none"/>
        </w:rPr>
        <w:t>.</w:t>
      </w:r>
      <w:r>
        <w:rPr>
          <w:rFonts w:hint="eastAsia"/>
          <w:b/>
          <w:color w:val="auto"/>
          <w:sz w:val="28"/>
          <w:szCs w:val="28"/>
          <w:highlight w:val="none"/>
        </w:rPr>
        <w:t>供应商资格声明函</w:t>
      </w:r>
    </w:p>
    <w:p w14:paraId="1A51C707">
      <w:pPr>
        <w:pStyle w:val="6"/>
        <w:spacing w:line="460" w:lineRule="exact"/>
        <w:ind w:firstLine="0"/>
        <w:jc w:val="center"/>
        <w:rPr>
          <w:color w:val="auto"/>
          <w:szCs w:val="24"/>
          <w:highlight w:val="none"/>
        </w:rPr>
      </w:pPr>
      <w:r>
        <w:rPr>
          <w:rFonts w:hint="eastAsia"/>
          <w:b/>
          <w:color w:val="auto"/>
          <w:sz w:val="28"/>
          <w:szCs w:val="28"/>
          <w:highlight w:val="none"/>
        </w:rPr>
        <w:t>供应商资格声明函</w:t>
      </w:r>
    </w:p>
    <w:p w14:paraId="4E4D283D">
      <w:pPr>
        <w:pStyle w:val="6"/>
        <w:spacing w:line="360" w:lineRule="exact"/>
        <w:ind w:firstLine="0"/>
        <w:rPr>
          <w:color w:val="auto"/>
          <w:sz w:val="21"/>
          <w:szCs w:val="21"/>
          <w:highlight w:val="none"/>
        </w:rPr>
      </w:pPr>
    </w:p>
    <w:p w14:paraId="010D9E0E">
      <w:pPr>
        <w:pStyle w:val="6"/>
        <w:spacing w:line="360" w:lineRule="exact"/>
        <w:ind w:firstLine="0"/>
        <w:rPr>
          <w:color w:val="auto"/>
          <w:sz w:val="21"/>
          <w:szCs w:val="21"/>
          <w:highlight w:val="none"/>
        </w:rPr>
      </w:pPr>
      <w:r>
        <w:rPr>
          <w:rFonts w:hint="eastAsia"/>
          <w:color w:val="auto"/>
          <w:sz w:val="21"/>
          <w:szCs w:val="21"/>
          <w:highlight w:val="none"/>
        </w:rPr>
        <w:t>采购人名称、常州市城投建设工程招标有限公司：</w:t>
      </w:r>
    </w:p>
    <w:p w14:paraId="0275362A">
      <w:pPr>
        <w:pStyle w:val="6"/>
        <w:spacing w:line="360" w:lineRule="exact"/>
        <w:ind w:firstLine="480"/>
        <w:rPr>
          <w:color w:val="auto"/>
          <w:sz w:val="21"/>
          <w:szCs w:val="21"/>
          <w:highlight w:val="none"/>
        </w:rPr>
      </w:pPr>
      <w:r>
        <w:rPr>
          <w:rFonts w:hint="eastAsia"/>
          <w:color w:val="auto"/>
          <w:sz w:val="21"/>
          <w:szCs w:val="21"/>
          <w:highlight w:val="none"/>
        </w:rPr>
        <w:t>按照竞争性磋商文件要求的“申请人的资格要求”，我单位郑重声明如下：</w:t>
      </w:r>
    </w:p>
    <w:p w14:paraId="65AB89C7">
      <w:pPr>
        <w:pStyle w:val="6"/>
        <w:spacing w:line="360" w:lineRule="exact"/>
        <w:ind w:firstLine="480"/>
        <w:rPr>
          <w:color w:val="auto"/>
          <w:sz w:val="21"/>
          <w:szCs w:val="21"/>
          <w:highlight w:val="none"/>
        </w:rPr>
      </w:pPr>
      <w:r>
        <w:rPr>
          <w:rFonts w:hint="eastAsia"/>
          <w:color w:val="auto"/>
          <w:sz w:val="21"/>
          <w:szCs w:val="21"/>
          <w:highlight w:val="none"/>
        </w:rPr>
        <w:t>一、我单位是按照中华人民共和国法律规定登记注册的，注册地点为</w:t>
      </w:r>
      <w:r>
        <w:rPr>
          <w:color w:val="auto"/>
          <w:sz w:val="21"/>
          <w:szCs w:val="21"/>
          <w:highlight w:val="none"/>
          <w:u w:val="single"/>
        </w:rPr>
        <w:t xml:space="preserve">         </w:t>
      </w:r>
      <w:r>
        <w:rPr>
          <w:rFonts w:hint="eastAsia"/>
          <w:color w:val="auto"/>
          <w:sz w:val="21"/>
          <w:szCs w:val="21"/>
          <w:highlight w:val="none"/>
        </w:rPr>
        <w:t>，全称为</w:t>
      </w:r>
      <w:r>
        <w:rPr>
          <w:color w:val="auto"/>
          <w:sz w:val="21"/>
          <w:szCs w:val="21"/>
          <w:highlight w:val="none"/>
          <w:u w:val="single"/>
        </w:rPr>
        <w:t xml:space="preserve">        </w:t>
      </w:r>
      <w:r>
        <w:rPr>
          <w:rFonts w:hint="eastAsia"/>
          <w:color w:val="auto"/>
          <w:sz w:val="21"/>
          <w:szCs w:val="21"/>
          <w:highlight w:val="none"/>
        </w:rPr>
        <w:t>，统一社会信用代码为</w:t>
      </w:r>
      <w:r>
        <w:rPr>
          <w:color w:val="auto"/>
          <w:sz w:val="21"/>
          <w:szCs w:val="21"/>
          <w:highlight w:val="none"/>
          <w:u w:val="single"/>
        </w:rPr>
        <w:t xml:space="preserve">           </w:t>
      </w:r>
      <w:r>
        <w:rPr>
          <w:color w:val="auto"/>
          <w:sz w:val="21"/>
          <w:szCs w:val="21"/>
          <w:highlight w:val="none"/>
        </w:rPr>
        <w:t xml:space="preserve"> </w:t>
      </w:r>
      <w:r>
        <w:rPr>
          <w:rFonts w:hint="eastAsia"/>
          <w:color w:val="auto"/>
          <w:sz w:val="21"/>
          <w:szCs w:val="21"/>
          <w:highlight w:val="none"/>
        </w:rPr>
        <w:t>，法定代表人（单位负责人）为</w:t>
      </w:r>
      <w:r>
        <w:rPr>
          <w:color w:val="auto"/>
          <w:sz w:val="21"/>
          <w:szCs w:val="21"/>
          <w:highlight w:val="none"/>
          <w:u w:val="single"/>
        </w:rPr>
        <w:t xml:space="preserve">         </w:t>
      </w:r>
      <w:r>
        <w:rPr>
          <w:rFonts w:hint="eastAsia"/>
          <w:color w:val="auto"/>
          <w:sz w:val="21"/>
          <w:szCs w:val="21"/>
          <w:highlight w:val="none"/>
        </w:rPr>
        <w:t>，具有独立承担民事责任的能力</w:t>
      </w:r>
      <w:r>
        <w:rPr>
          <w:rFonts w:hint="eastAsia"/>
          <w:b/>
          <w:color w:val="auto"/>
          <w:sz w:val="21"/>
          <w:szCs w:val="21"/>
          <w:highlight w:val="none"/>
        </w:rPr>
        <w:t>（如属于分公司经总公司授权参与项目，由总公司承担民事责任的，需提供总公司项目授权书）</w:t>
      </w:r>
      <w:r>
        <w:rPr>
          <w:rFonts w:hint="eastAsia"/>
          <w:color w:val="auto"/>
          <w:sz w:val="21"/>
          <w:szCs w:val="21"/>
          <w:highlight w:val="none"/>
        </w:rPr>
        <w:t>。</w:t>
      </w:r>
    </w:p>
    <w:p w14:paraId="00D17631">
      <w:pPr>
        <w:pStyle w:val="6"/>
        <w:spacing w:line="360" w:lineRule="exact"/>
        <w:ind w:firstLine="480"/>
        <w:rPr>
          <w:color w:val="auto"/>
          <w:sz w:val="21"/>
          <w:szCs w:val="21"/>
          <w:highlight w:val="none"/>
        </w:rPr>
      </w:pPr>
      <w:r>
        <w:rPr>
          <w:rFonts w:hint="eastAsia"/>
          <w:color w:val="auto"/>
          <w:sz w:val="21"/>
          <w:szCs w:val="21"/>
          <w:highlight w:val="none"/>
        </w:rPr>
        <w:t>二、我单位未被“国家企业信用信息系统”列入经营异常名录或者严重违法企业名单。</w:t>
      </w:r>
    </w:p>
    <w:p w14:paraId="7EAFE753">
      <w:pPr>
        <w:pStyle w:val="6"/>
        <w:spacing w:line="360" w:lineRule="exact"/>
        <w:ind w:firstLine="480"/>
        <w:rPr>
          <w:color w:val="auto"/>
          <w:sz w:val="21"/>
          <w:szCs w:val="21"/>
          <w:highlight w:val="none"/>
        </w:rPr>
      </w:pPr>
      <w:r>
        <w:rPr>
          <w:rFonts w:hint="eastAsia"/>
          <w:color w:val="auto"/>
          <w:sz w:val="21"/>
          <w:szCs w:val="21"/>
          <w:highlight w:val="none"/>
        </w:rPr>
        <w:t>三、我单位具有良好的商业信誉（指供应商经营状况良好，无本资格声明第十条情形）和健全的财务会计制度。</w:t>
      </w:r>
    </w:p>
    <w:p w14:paraId="3D4A5DD4">
      <w:pPr>
        <w:pStyle w:val="6"/>
        <w:spacing w:line="360" w:lineRule="exact"/>
        <w:ind w:firstLine="480"/>
        <w:rPr>
          <w:color w:val="auto"/>
          <w:sz w:val="21"/>
          <w:szCs w:val="21"/>
          <w:highlight w:val="none"/>
        </w:rPr>
      </w:pPr>
      <w:r>
        <w:rPr>
          <w:rFonts w:hint="eastAsia"/>
          <w:color w:val="auto"/>
          <w:sz w:val="21"/>
          <w:szCs w:val="21"/>
          <w:highlight w:val="none"/>
        </w:rPr>
        <w:t>四、我单位依法进行纳税和社会保险申报并实际履行了义务。</w:t>
      </w:r>
    </w:p>
    <w:p w14:paraId="68FE6B00">
      <w:pPr>
        <w:pStyle w:val="6"/>
        <w:spacing w:line="360" w:lineRule="exact"/>
        <w:ind w:firstLine="480"/>
        <w:rPr>
          <w:color w:val="auto"/>
          <w:sz w:val="21"/>
          <w:szCs w:val="21"/>
          <w:highlight w:val="none"/>
        </w:rPr>
      </w:pPr>
      <w:r>
        <w:rPr>
          <w:rFonts w:hint="eastAsia"/>
          <w:color w:val="auto"/>
          <w:sz w:val="21"/>
          <w:szCs w:val="21"/>
          <w:highlight w:val="none"/>
        </w:rPr>
        <w:t>五、我单位具有履行本项目采购合同所必需的设备和专业技术能力，并具有履行合同的良好记录。为履行本项采购合同我单位具备如下主要设备和主要专业技术能力</w:t>
      </w:r>
      <w:r>
        <w:rPr>
          <w:color w:val="auto"/>
          <w:sz w:val="21"/>
          <w:szCs w:val="21"/>
          <w:highlight w:val="none"/>
        </w:rPr>
        <w:t>:</w:t>
      </w:r>
    </w:p>
    <w:p w14:paraId="035BC8CE">
      <w:pPr>
        <w:pStyle w:val="6"/>
        <w:spacing w:line="360" w:lineRule="exact"/>
        <w:ind w:firstLine="480"/>
        <w:rPr>
          <w:color w:val="auto"/>
          <w:sz w:val="21"/>
          <w:szCs w:val="21"/>
          <w:highlight w:val="none"/>
        </w:rPr>
      </w:pPr>
      <w:r>
        <w:rPr>
          <w:rFonts w:hint="eastAsia"/>
          <w:color w:val="auto"/>
          <w:sz w:val="21"/>
          <w:szCs w:val="21"/>
          <w:highlight w:val="none"/>
        </w:rPr>
        <w:t>主要设备有：</w:t>
      </w:r>
      <w:r>
        <w:rPr>
          <w:color w:val="auto"/>
          <w:sz w:val="21"/>
          <w:szCs w:val="21"/>
          <w:highlight w:val="none"/>
          <w:u w:val="single"/>
        </w:rPr>
        <w:t xml:space="preserve">            </w:t>
      </w:r>
    </w:p>
    <w:p w14:paraId="7333263A">
      <w:pPr>
        <w:pStyle w:val="6"/>
        <w:spacing w:line="360" w:lineRule="exact"/>
        <w:ind w:firstLine="480"/>
        <w:rPr>
          <w:color w:val="auto"/>
          <w:sz w:val="21"/>
          <w:szCs w:val="21"/>
          <w:highlight w:val="none"/>
        </w:rPr>
      </w:pPr>
      <w:r>
        <w:rPr>
          <w:rFonts w:hint="eastAsia"/>
          <w:color w:val="auto"/>
          <w:sz w:val="21"/>
          <w:szCs w:val="21"/>
          <w:highlight w:val="none"/>
        </w:rPr>
        <w:t>主要专业技术能力有</w:t>
      </w:r>
      <w:r>
        <w:rPr>
          <w:color w:val="auto"/>
          <w:sz w:val="21"/>
          <w:szCs w:val="21"/>
          <w:highlight w:val="none"/>
          <w:u w:val="single"/>
        </w:rPr>
        <w:t xml:space="preserve">                 </w:t>
      </w:r>
    </w:p>
    <w:p w14:paraId="0C4E8366">
      <w:pPr>
        <w:pStyle w:val="6"/>
        <w:spacing w:line="360" w:lineRule="exact"/>
        <w:ind w:firstLine="480"/>
        <w:rPr>
          <w:color w:val="auto"/>
          <w:sz w:val="21"/>
          <w:szCs w:val="21"/>
          <w:highlight w:val="none"/>
        </w:rPr>
      </w:pPr>
      <w:r>
        <w:rPr>
          <w:rFonts w:hint="eastAsia"/>
          <w:color w:val="auto"/>
          <w:sz w:val="21"/>
          <w:szCs w:val="21"/>
          <w:highlight w:val="none"/>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采购活动前</w:t>
      </w:r>
      <w:r>
        <w:rPr>
          <w:color w:val="auto"/>
          <w:sz w:val="21"/>
          <w:szCs w:val="21"/>
          <w:highlight w:val="none"/>
        </w:rPr>
        <w:t>3</w:t>
      </w:r>
      <w:r>
        <w:rPr>
          <w:rFonts w:hint="eastAsia"/>
          <w:color w:val="auto"/>
          <w:sz w:val="21"/>
          <w:szCs w:val="21"/>
          <w:highlight w:val="none"/>
        </w:rPr>
        <w:t>年内因违法经营被禁止在一定期限内参加采购活动，期限届满的，可以参加采购活动。）</w:t>
      </w:r>
    </w:p>
    <w:p w14:paraId="3B138B24">
      <w:pPr>
        <w:pStyle w:val="6"/>
        <w:spacing w:line="360" w:lineRule="exact"/>
        <w:ind w:firstLine="480"/>
        <w:rPr>
          <w:color w:val="auto"/>
          <w:sz w:val="21"/>
          <w:szCs w:val="21"/>
          <w:highlight w:val="none"/>
        </w:rPr>
      </w:pPr>
      <w:r>
        <w:rPr>
          <w:rFonts w:hint="eastAsia"/>
          <w:color w:val="auto"/>
          <w:sz w:val="21"/>
          <w:szCs w:val="21"/>
          <w:highlight w:val="none"/>
        </w:rPr>
        <w:t>七、我单位具备法律、行政法规规定的其他条件。</w:t>
      </w:r>
    </w:p>
    <w:p w14:paraId="77CDA88F">
      <w:pPr>
        <w:pStyle w:val="6"/>
        <w:spacing w:line="360" w:lineRule="exact"/>
        <w:ind w:firstLine="480"/>
        <w:rPr>
          <w:color w:val="auto"/>
          <w:sz w:val="21"/>
          <w:szCs w:val="21"/>
          <w:highlight w:val="none"/>
        </w:rPr>
      </w:pPr>
      <w:r>
        <w:rPr>
          <w:rFonts w:hint="eastAsia"/>
          <w:color w:val="auto"/>
          <w:sz w:val="21"/>
          <w:szCs w:val="21"/>
          <w:highlight w:val="none"/>
        </w:rPr>
        <w:t>八、与我单位存在“单位负责人为同一人或者存在直接控股、管理关系”的其他单位信息如下（如无此情形的，填写“无”）：</w:t>
      </w:r>
    </w:p>
    <w:p w14:paraId="27C876E7">
      <w:pPr>
        <w:pStyle w:val="6"/>
        <w:spacing w:line="360" w:lineRule="exact"/>
        <w:ind w:firstLine="480"/>
        <w:rPr>
          <w:color w:val="auto"/>
          <w:sz w:val="21"/>
          <w:szCs w:val="21"/>
          <w:highlight w:val="none"/>
        </w:rPr>
      </w:pPr>
      <w:r>
        <w:rPr>
          <w:color w:val="auto"/>
          <w:sz w:val="21"/>
          <w:szCs w:val="21"/>
          <w:highlight w:val="none"/>
        </w:rPr>
        <w:t>1</w:t>
      </w:r>
      <w:r>
        <w:rPr>
          <w:rFonts w:hint="eastAsia"/>
          <w:color w:val="auto"/>
          <w:sz w:val="21"/>
          <w:szCs w:val="21"/>
          <w:highlight w:val="none"/>
        </w:rPr>
        <w:t>.与我单位的法定代表人（单位负责人）为同一人的其他单位如下：</w:t>
      </w:r>
      <w:r>
        <w:rPr>
          <w:color w:val="auto"/>
          <w:sz w:val="21"/>
          <w:szCs w:val="21"/>
          <w:highlight w:val="none"/>
          <w:u w:val="single"/>
        </w:rPr>
        <w:t xml:space="preserve">     </w:t>
      </w:r>
      <w:r>
        <w:rPr>
          <w:color w:val="auto"/>
          <w:sz w:val="21"/>
          <w:szCs w:val="21"/>
          <w:highlight w:val="none"/>
        </w:rPr>
        <w:t xml:space="preserve">          </w:t>
      </w:r>
    </w:p>
    <w:p w14:paraId="5086469F">
      <w:pPr>
        <w:pStyle w:val="6"/>
        <w:spacing w:line="360" w:lineRule="exact"/>
        <w:ind w:firstLine="480"/>
        <w:rPr>
          <w:color w:val="auto"/>
          <w:sz w:val="21"/>
          <w:szCs w:val="21"/>
          <w:highlight w:val="none"/>
        </w:rPr>
      </w:pPr>
      <w:r>
        <w:rPr>
          <w:color w:val="auto"/>
          <w:sz w:val="21"/>
          <w:szCs w:val="21"/>
          <w:highlight w:val="none"/>
        </w:rPr>
        <w:t>2</w:t>
      </w:r>
      <w:r>
        <w:rPr>
          <w:rFonts w:hint="eastAsia"/>
          <w:color w:val="auto"/>
          <w:sz w:val="21"/>
          <w:szCs w:val="21"/>
          <w:highlight w:val="none"/>
        </w:rPr>
        <w:t>.我单位直接控股的其他单位如下：</w:t>
      </w:r>
      <w:r>
        <w:rPr>
          <w:color w:val="auto"/>
          <w:sz w:val="21"/>
          <w:szCs w:val="21"/>
          <w:highlight w:val="none"/>
          <w:u w:val="single"/>
        </w:rPr>
        <w:t xml:space="preserve">                    </w:t>
      </w:r>
      <w:r>
        <w:rPr>
          <w:color w:val="auto"/>
          <w:sz w:val="21"/>
          <w:szCs w:val="21"/>
          <w:highlight w:val="none"/>
        </w:rPr>
        <w:t xml:space="preserve"> </w:t>
      </w:r>
    </w:p>
    <w:p w14:paraId="4A501F46">
      <w:pPr>
        <w:pStyle w:val="6"/>
        <w:spacing w:line="360" w:lineRule="exact"/>
        <w:ind w:firstLine="480"/>
        <w:rPr>
          <w:color w:val="auto"/>
          <w:sz w:val="21"/>
          <w:szCs w:val="21"/>
          <w:highlight w:val="none"/>
        </w:rPr>
      </w:pPr>
      <w:r>
        <w:rPr>
          <w:color w:val="auto"/>
          <w:sz w:val="21"/>
          <w:szCs w:val="21"/>
          <w:highlight w:val="none"/>
        </w:rPr>
        <w:t>3</w:t>
      </w:r>
      <w:r>
        <w:rPr>
          <w:rFonts w:hint="eastAsia"/>
          <w:color w:val="auto"/>
          <w:sz w:val="21"/>
          <w:szCs w:val="21"/>
          <w:highlight w:val="none"/>
        </w:rPr>
        <w:t>.与我单位存在管理关系的其他单位如下：</w:t>
      </w:r>
      <w:r>
        <w:rPr>
          <w:color w:val="auto"/>
          <w:sz w:val="21"/>
          <w:szCs w:val="21"/>
          <w:highlight w:val="none"/>
          <w:u w:val="single"/>
        </w:rPr>
        <w:t xml:space="preserve">              </w:t>
      </w:r>
      <w:r>
        <w:rPr>
          <w:color w:val="auto"/>
          <w:sz w:val="21"/>
          <w:szCs w:val="21"/>
          <w:highlight w:val="none"/>
        </w:rPr>
        <w:t xml:space="preserve"> </w:t>
      </w:r>
    </w:p>
    <w:p w14:paraId="7ECC8E47">
      <w:pPr>
        <w:pStyle w:val="6"/>
        <w:spacing w:line="360" w:lineRule="exact"/>
        <w:ind w:firstLine="480"/>
        <w:rPr>
          <w:color w:val="auto"/>
          <w:sz w:val="21"/>
          <w:szCs w:val="21"/>
          <w:highlight w:val="none"/>
        </w:rPr>
      </w:pPr>
      <w:bookmarkStart w:id="8" w:name="_Hlk225867555"/>
      <w:r>
        <w:rPr>
          <w:rFonts w:hint="eastAsia"/>
          <w:color w:val="auto"/>
          <w:sz w:val="21"/>
          <w:szCs w:val="21"/>
          <w:highlight w:val="none"/>
        </w:rPr>
        <w:t>九、我单位不属于为本项目提供整体设计、规范编制或者项目管理、监理、检测等服务的供应商。</w:t>
      </w:r>
    </w:p>
    <w:p w14:paraId="2FDE2E40">
      <w:pPr>
        <w:pStyle w:val="6"/>
        <w:spacing w:line="360" w:lineRule="exact"/>
        <w:ind w:firstLine="480"/>
        <w:rPr>
          <w:color w:val="auto"/>
          <w:sz w:val="21"/>
          <w:szCs w:val="21"/>
          <w:highlight w:val="none"/>
        </w:rPr>
      </w:pPr>
      <w:r>
        <w:rPr>
          <w:rFonts w:hint="eastAsia"/>
          <w:color w:val="auto"/>
          <w:sz w:val="21"/>
          <w:szCs w:val="21"/>
          <w:highlight w:val="none"/>
        </w:rPr>
        <w:t>十、我单位法定代表人的社保缴纳单位为：</w:t>
      </w:r>
      <w:r>
        <w:rPr>
          <w:color w:val="auto"/>
          <w:sz w:val="21"/>
          <w:szCs w:val="21"/>
          <w:highlight w:val="none"/>
          <w:u w:val="single"/>
        </w:rPr>
        <w:t xml:space="preserve">              </w:t>
      </w:r>
      <w:r>
        <w:rPr>
          <w:rFonts w:hint="eastAsia"/>
          <w:color w:val="auto"/>
          <w:sz w:val="21"/>
          <w:szCs w:val="21"/>
          <w:highlight w:val="none"/>
        </w:rPr>
        <w:t xml:space="preserve">    </w:t>
      </w:r>
    </w:p>
    <w:p w14:paraId="087B2F6F">
      <w:pPr>
        <w:pStyle w:val="6"/>
        <w:spacing w:line="360" w:lineRule="exact"/>
        <w:ind w:firstLine="480"/>
        <w:rPr>
          <w:color w:val="auto"/>
          <w:sz w:val="21"/>
          <w:szCs w:val="21"/>
          <w:highlight w:val="none"/>
        </w:rPr>
      </w:pPr>
      <w:r>
        <w:rPr>
          <w:rFonts w:hint="eastAsia"/>
          <w:color w:val="auto"/>
          <w:sz w:val="21"/>
          <w:szCs w:val="21"/>
          <w:highlight w:val="none"/>
        </w:rPr>
        <w:t>十一、我单位无以下不良信用记录情形：</w:t>
      </w:r>
    </w:p>
    <w:bookmarkEnd w:id="8"/>
    <w:p w14:paraId="28AC0214">
      <w:pPr>
        <w:pStyle w:val="6"/>
        <w:spacing w:line="360" w:lineRule="exact"/>
        <w:ind w:firstLine="480"/>
        <w:rPr>
          <w:color w:val="auto"/>
          <w:sz w:val="21"/>
          <w:szCs w:val="21"/>
          <w:highlight w:val="none"/>
        </w:rPr>
      </w:pPr>
      <w:r>
        <w:rPr>
          <w:rFonts w:hint="eastAsia"/>
          <w:color w:val="auto"/>
          <w:sz w:val="21"/>
          <w:szCs w:val="21"/>
          <w:highlight w:val="none"/>
        </w:rPr>
        <w:t>在“信用中国”网站被列入失信被执行人和重大税收违法案件当事人名单。</w:t>
      </w:r>
    </w:p>
    <w:p w14:paraId="69D872A9">
      <w:pPr>
        <w:pStyle w:val="6"/>
        <w:spacing w:line="360" w:lineRule="exact"/>
        <w:ind w:firstLine="480"/>
        <w:rPr>
          <w:color w:val="auto"/>
          <w:sz w:val="21"/>
          <w:szCs w:val="21"/>
          <w:highlight w:val="none"/>
        </w:rPr>
      </w:pPr>
      <w:r>
        <w:rPr>
          <w:rFonts w:hint="eastAsia"/>
          <w:color w:val="auto"/>
          <w:sz w:val="21"/>
          <w:szCs w:val="21"/>
          <w:highlight w:val="none"/>
        </w:rPr>
        <w:t>我单位保证上述声明的事项都是真实的，如有虚假，我单位愿意承担相应的法律责任，并承担因此所造成的一切损失。</w:t>
      </w:r>
    </w:p>
    <w:p w14:paraId="2FB39C7B">
      <w:pPr>
        <w:pStyle w:val="53"/>
        <w:spacing w:line="360" w:lineRule="exact"/>
        <w:ind w:firstLine="420" w:firstLineChars="200"/>
        <w:rPr>
          <w:rFonts w:cs="宋体"/>
          <w:color w:val="auto"/>
          <w:sz w:val="21"/>
          <w:szCs w:val="21"/>
          <w:highlight w:val="none"/>
        </w:rPr>
      </w:pPr>
    </w:p>
    <w:p w14:paraId="1886E16B">
      <w:pPr>
        <w:pStyle w:val="53"/>
        <w:spacing w:line="360" w:lineRule="exact"/>
        <w:ind w:firstLine="420" w:firstLineChars="200"/>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14:paraId="09828B55">
      <w:pPr>
        <w:pStyle w:val="53"/>
        <w:spacing w:line="360" w:lineRule="exact"/>
        <w:ind w:firstLine="420" w:firstLineChars="200"/>
        <w:rPr>
          <w:rFonts w:cs="宋体"/>
          <w:color w:val="auto"/>
          <w:sz w:val="21"/>
          <w:szCs w:val="21"/>
          <w:highlight w:val="none"/>
        </w:rPr>
      </w:pPr>
      <w:r>
        <w:rPr>
          <w:rFonts w:hint="eastAsia" w:cs="宋体"/>
          <w:color w:val="auto"/>
          <w:sz w:val="21"/>
          <w:szCs w:val="21"/>
          <w:highlight w:val="none"/>
        </w:rPr>
        <w:t xml:space="preserve">供应商名称（公章）：             </w:t>
      </w:r>
    </w:p>
    <w:p w14:paraId="7027FDF7">
      <w:pPr>
        <w:pStyle w:val="53"/>
        <w:spacing w:line="360" w:lineRule="exact"/>
        <w:ind w:firstLine="420" w:firstLineChars="200"/>
        <w:rPr>
          <w:rFonts w:cs="宋体"/>
          <w:color w:val="auto"/>
          <w:sz w:val="21"/>
          <w:szCs w:val="21"/>
          <w:highlight w:val="none"/>
        </w:rPr>
      </w:pPr>
      <w:r>
        <w:rPr>
          <w:rFonts w:hint="eastAsia" w:cs="宋体"/>
          <w:color w:val="auto"/>
          <w:sz w:val="21"/>
          <w:szCs w:val="21"/>
          <w:highlight w:val="none"/>
        </w:rPr>
        <w:t>日    期：     年    月    日</w:t>
      </w:r>
    </w:p>
    <w:p w14:paraId="4946CE83">
      <w:pPr>
        <w:pStyle w:val="53"/>
        <w:spacing w:line="360" w:lineRule="exact"/>
        <w:rPr>
          <w:rFonts w:cs="宋体"/>
          <w:b/>
          <w:color w:val="auto"/>
          <w:sz w:val="28"/>
          <w:szCs w:val="28"/>
          <w:highlight w:val="none"/>
        </w:rPr>
      </w:pPr>
      <w:r>
        <w:rPr>
          <w:rFonts w:cs="宋体"/>
          <w:b/>
          <w:color w:val="auto"/>
          <w:sz w:val="28"/>
          <w:szCs w:val="28"/>
          <w:highlight w:val="none"/>
        </w:rPr>
        <w:br w:type="page"/>
      </w:r>
    </w:p>
    <w:p w14:paraId="3C6D5314">
      <w:pPr>
        <w:pStyle w:val="53"/>
        <w:spacing w:line="360" w:lineRule="exact"/>
        <w:outlineLvl w:val="0"/>
        <w:rPr>
          <w:rFonts w:cs="宋体"/>
          <w:b/>
          <w:color w:val="auto"/>
          <w:sz w:val="32"/>
          <w:highlight w:val="none"/>
        </w:rPr>
      </w:pPr>
      <w:r>
        <w:rPr>
          <w:rFonts w:hint="eastAsia" w:cs="宋体"/>
          <w:b/>
          <w:color w:val="auto"/>
          <w:sz w:val="28"/>
          <w:szCs w:val="28"/>
          <w:highlight w:val="none"/>
        </w:rPr>
        <w:t>2.磋商响应函</w:t>
      </w:r>
    </w:p>
    <w:p w14:paraId="4918F7CA">
      <w:pPr>
        <w:pStyle w:val="20"/>
        <w:rPr>
          <w:rFonts w:ascii="宋体" w:hAnsi="宋体" w:cs="宋体"/>
          <w:color w:val="auto"/>
          <w:highlight w:val="none"/>
        </w:rPr>
      </w:pPr>
    </w:p>
    <w:p w14:paraId="5DE6CBD6">
      <w:pPr>
        <w:pStyle w:val="53"/>
        <w:spacing w:line="360" w:lineRule="exact"/>
        <w:jc w:val="center"/>
        <w:rPr>
          <w:rFonts w:cs="宋体"/>
          <w:b/>
          <w:color w:val="auto"/>
          <w:sz w:val="28"/>
          <w:szCs w:val="28"/>
          <w:highlight w:val="none"/>
        </w:rPr>
      </w:pPr>
      <w:r>
        <w:rPr>
          <w:rFonts w:hint="eastAsia" w:cs="宋体"/>
          <w:b/>
          <w:color w:val="auto"/>
          <w:sz w:val="28"/>
          <w:szCs w:val="28"/>
          <w:highlight w:val="none"/>
        </w:rPr>
        <w:t>磋商响应函</w:t>
      </w:r>
    </w:p>
    <w:p w14:paraId="7A26A735">
      <w:pPr>
        <w:pStyle w:val="53"/>
        <w:spacing w:line="360" w:lineRule="exact"/>
        <w:rPr>
          <w:rFonts w:cs="宋体"/>
          <w:color w:val="auto"/>
          <w:sz w:val="21"/>
          <w:szCs w:val="21"/>
          <w:highlight w:val="none"/>
        </w:rPr>
      </w:pPr>
      <w:r>
        <w:rPr>
          <w:rFonts w:hint="eastAsia" w:cs="宋体"/>
          <w:color w:val="auto"/>
          <w:sz w:val="21"/>
          <w:szCs w:val="21"/>
          <w:highlight w:val="none"/>
        </w:rPr>
        <w:t>致：采购人名称、常州市城投建设工程招标有限公司：</w:t>
      </w:r>
    </w:p>
    <w:p w14:paraId="37E98D9F">
      <w:pPr>
        <w:pStyle w:val="53"/>
        <w:spacing w:line="360" w:lineRule="exact"/>
        <w:ind w:firstLine="420"/>
        <w:jc w:val="left"/>
        <w:rPr>
          <w:rFonts w:cs="宋体"/>
          <w:color w:val="auto"/>
          <w:sz w:val="21"/>
          <w:szCs w:val="21"/>
          <w:highlight w:val="none"/>
        </w:rPr>
      </w:pPr>
      <w:r>
        <w:rPr>
          <w:rFonts w:hint="eastAsia" w:cs="宋体"/>
          <w:color w:val="auto"/>
          <w:sz w:val="21"/>
          <w:szCs w:val="21"/>
          <w:highlight w:val="none"/>
        </w:rPr>
        <w:t>我单位收到贵单位“       号”竞争性磋商文件后，经仔细阅读和研究，我单位决定参加本项目的竞争性磋商活动。为此，我单位郑重声明以下诸点，并负法律责任。</w:t>
      </w:r>
    </w:p>
    <w:p w14:paraId="15EADFDC">
      <w:pPr>
        <w:pStyle w:val="53"/>
        <w:spacing w:line="360" w:lineRule="exact"/>
        <w:ind w:firstLine="420"/>
        <w:jc w:val="left"/>
        <w:rPr>
          <w:rFonts w:cs="宋体"/>
          <w:color w:val="auto"/>
          <w:sz w:val="21"/>
          <w:szCs w:val="21"/>
          <w:highlight w:val="none"/>
        </w:rPr>
      </w:pPr>
      <w:r>
        <w:rPr>
          <w:rFonts w:hint="eastAsia" w:cs="宋体"/>
          <w:color w:val="auto"/>
          <w:sz w:val="21"/>
          <w:szCs w:val="21"/>
          <w:highlight w:val="none"/>
        </w:rPr>
        <w:t>1.我单位愿意遵守贵单位有关采购的各项规定，提供竞争性磋商文件中要求的所有资料，并保证完全真实准确，若有虚假和违背，我单位愿意承担由此而产生的一切后果。</w:t>
      </w:r>
    </w:p>
    <w:p w14:paraId="6E9ABF41">
      <w:pPr>
        <w:pStyle w:val="53"/>
        <w:spacing w:line="360" w:lineRule="exact"/>
        <w:ind w:firstLine="420"/>
        <w:jc w:val="left"/>
        <w:rPr>
          <w:rFonts w:cs="宋体"/>
          <w:color w:val="auto"/>
          <w:sz w:val="21"/>
          <w:szCs w:val="21"/>
          <w:highlight w:val="none"/>
        </w:rPr>
      </w:pPr>
      <w:r>
        <w:rPr>
          <w:rFonts w:hint="eastAsia" w:cs="宋体"/>
          <w:color w:val="auto"/>
          <w:sz w:val="21"/>
          <w:szCs w:val="21"/>
          <w:highlight w:val="none"/>
        </w:rPr>
        <w:t>2.我单位承诺财务状况良好，依法缴纳税收和社会保障资金，具备履行合同所必需的设备和专业技术能力，参加采购活动前3年内在经营活动中没有重大违法记录。</w:t>
      </w:r>
    </w:p>
    <w:p w14:paraId="6805DA6F">
      <w:pPr>
        <w:pStyle w:val="53"/>
        <w:spacing w:line="360" w:lineRule="exact"/>
        <w:ind w:firstLine="420"/>
        <w:jc w:val="left"/>
        <w:rPr>
          <w:rFonts w:cs="宋体"/>
          <w:color w:val="auto"/>
          <w:sz w:val="21"/>
          <w:szCs w:val="21"/>
          <w:highlight w:val="none"/>
        </w:rPr>
      </w:pPr>
      <w:r>
        <w:rPr>
          <w:rFonts w:hint="eastAsia" w:cs="宋体"/>
          <w:color w:val="auto"/>
          <w:sz w:val="21"/>
          <w:szCs w:val="21"/>
          <w:highlight w:val="none"/>
        </w:rPr>
        <w:t>3.我单位承诺该磋商响应文件在磋商开始后的全过程中保持有效，不作任何更改和变动。并同意按竞争性磋商文件中的规定，本磋商响应文件的有效期限为磋商开始后</w:t>
      </w:r>
      <w:r>
        <w:rPr>
          <w:rFonts w:hint="eastAsia" w:cs="宋体"/>
          <w:color w:val="auto"/>
          <w:sz w:val="21"/>
          <w:szCs w:val="21"/>
          <w:highlight w:val="none"/>
          <w:u w:val="single"/>
        </w:rPr>
        <w:t>60</w:t>
      </w:r>
      <w:r>
        <w:rPr>
          <w:rFonts w:hint="eastAsia" w:cs="宋体"/>
          <w:color w:val="auto"/>
          <w:sz w:val="21"/>
          <w:szCs w:val="21"/>
          <w:highlight w:val="none"/>
        </w:rPr>
        <w:t>天。</w:t>
      </w:r>
    </w:p>
    <w:p w14:paraId="5A447D75">
      <w:pPr>
        <w:pStyle w:val="53"/>
        <w:spacing w:line="360" w:lineRule="exact"/>
        <w:ind w:firstLine="420"/>
        <w:jc w:val="left"/>
        <w:rPr>
          <w:color w:val="auto"/>
          <w:highlight w:val="none"/>
        </w:rPr>
      </w:pPr>
      <w:r>
        <w:rPr>
          <w:rFonts w:hint="eastAsia" w:cs="宋体"/>
          <w:color w:val="auto"/>
          <w:sz w:val="21"/>
          <w:szCs w:val="21"/>
          <w:highlight w:val="none"/>
        </w:rPr>
        <w:t>4.我单位愿意按竞争性磋商文件规定的各项要求，向采购人提供所需货物与服务。</w:t>
      </w:r>
      <w:r>
        <w:rPr>
          <w:rFonts w:hint="eastAsia" w:asciiTheme="minorEastAsia" w:hAnsiTheme="minorEastAsia" w:eastAsiaTheme="minorEastAsia"/>
          <w:color w:val="auto"/>
          <w:sz w:val="21"/>
          <w:szCs w:val="21"/>
          <w:highlight w:val="none"/>
        </w:rPr>
        <w:t>磋商</w:t>
      </w:r>
      <w:r>
        <w:rPr>
          <w:rFonts w:hint="eastAsia" w:asciiTheme="minorEastAsia" w:hAnsiTheme="minorEastAsia"/>
          <w:color w:val="auto"/>
          <w:sz w:val="21"/>
          <w:szCs w:val="21"/>
          <w:highlight w:val="none"/>
        </w:rPr>
        <w:t>报价</w:t>
      </w:r>
      <w:r>
        <w:rPr>
          <w:rFonts w:hint="eastAsia" w:asciiTheme="minorEastAsia" w:hAnsiTheme="minorEastAsia" w:eastAsiaTheme="minorEastAsia"/>
          <w:color w:val="auto"/>
          <w:sz w:val="21"/>
          <w:szCs w:val="21"/>
          <w:highlight w:val="none"/>
        </w:rPr>
        <w:t>包括</w:t>
      </w:r>
      <w:r>
        <w:rPr>
          <w:rFonts w:hint="eastAsia" w:cs="宋体"/>
          <w:color w:val="auto"/>
          <w:sz w:val="21"/>
          <w:szCs w:val="21"/>
          <w:highlight w:val="none"/>
        </w:rPr>
        <w:t>竞争性磋商文件</w:t>
      </w:r>
      <w:r>
        <w:rPr>
          <w:rFonts w:hint="eastAsia" w:asciiTheme="minorEastAsia" w:hAnsiTheme="minorEastAsia" w:eastAsiaTheme="minorEastAsia"/>
          <w:color w:val="auto"/>
          <w:sz w:val="21"/>
          <w:szCs w:val="21"/>
          <w:highlight w:val="none"/>
        </w:rPr>
        <w:t>所确定的采购范围相应服务的提供、人员（包括工资和补贴）、办公场所及设施、</w:t>
      </w:r>
      <w:r>
        <w:rPr>
          <w:rFonts w:hint="eastAsia" w:cs="宋体"/>
          <w:color w:val="auto"/>
          <w:sz w:val="21"/>
          <w:szCs w:val="21"/>
          <w:highlight w:val="none"/>
        </w:rPr>
        <w:t>代理机构服务费、</w:t>
      </w:r>
      <w:r>
        <w:rPr>
          <w:rFonts w:hint="eastAsia" w:asciiTheme="minorEastAsia" w:hAnsiTheme="minorEastAsia" w:eastAsiaTheme="minorEastAsia"/>
          <w:color w:val="auto"/>
          <w:sz w:val="21"/>
          <w:szCs w:val="21"/>
          <w:highlight w:val="none"/>
        </w:rPr>
        <w:t>保险、劳保、管理、各种税费、利润、税金、政策性文件规定及合同包含的所有风险、责任等各项应有费用，以及为完成该项服务项目所涉及到的一切相关费用，</w:t>
      </w:r>
      <w:r>
        <w:rPr>
          <w:rFonts w:hint="eastAsia" w:asciiTheme="minorEastAsia" w:hAnsiTheme="minorEastAsia"/>
          <w:color w:val="auto"/>
          <w:sz w:val="21"/>
          <w:szCs w:val="21"/>
          <w:highlight w:val="none"/>
        </w:rPr>
        <w:t>采购人</w:t>
      </w:r>
      <w:r>
        <w:rPr>
          <w:rFonts w:hint="eastAsia" w:asciiTheme="minorEastAsia" w:hAnsiTheme="minorEastAsia" w:eastAsiaTheme="minorEastAsia"/>
          <w:color w:val="auto"/>
          <w:sz w:val="21"/>
          <w:szCs w:val="21"/>
          <w:highlight w:val="none"/>
        </w:rPr>
        <w:t>不再支付其他任何费用。</w:t>
      </w:r>
    </w:p>
    <w:p w14:paraId="7A2B6DE2">
      <w:pPr>
        <w:pStyle w:val="53"/>
        <w:spacing w:line="360" w:lineRule="exact"/>
        <w:ind w:firstLine="420"/>
        <w:jc w:val="left"/>
        <w:rPr>
          <w:rFonts w:cs="宋体"/>
          <w:color w:val="auto"/>
          <w:sz w:val="21"/>
          <w:szCs w:val="21"/>
          <w:highlight w:val="none"/>
        </w:rPr>
      </w:pPr>
      <w:r>
        <w:rPr>
          <w:rFonts w:hint="eastAsia" w:cs="宋体"/>
          <w:color w:val="auto"/>
          <w:sz w:val="21"/>
          <w:szCs w:val="21"/>
          <w:highlight w:val="none"/>
        </w:rPr>
        <w:t>5.我单位认为贵单位有权决定成交供应商，还认为贵单位有权接受或拒绝所有的供应商。</w:t>
      </w:r>
    </w:p>
    <w:p w14:paraId="6F236F95">
      <w:pPr>
        <w:pStyle w:val="53"/>
        <w:spacing w:line="360" w:lineRule="exact"/>
        <w:ind w:firstLine="420"/>
        <w:jc w:val="left"/>
        <w:rPr>
          <w:rFonts w:cs="宋体"/>
          <w:color w:val="auto"/>
          <w:sz w:val="21"/>
          <w:szCs w:val="21"/>
          <w:highlight w:val="none"/>
        </w:rPr>
      </w:pPr>
      <w:r>
        <w:rPr>
          <w:rFonts w:hint="eastAsia" w:cs="宋体"/>
          <w:color w:val="auto"/>
          <w:sz w:val="21"/>
          <w:szCs w:val="21"/>
          <w:highlight w:val="none"/>
        </w:rPr>
        <w:t>6.我单位愿意遵守竞争性磋商文件中所列的收费标准，按竞争性磋商文件的规定交纳磋商保证金；若我单位成交，我单位愿意在签订合同前支付履约保证金，并按竞争性磋商文件的规定支付成交服务费。</w:t>
      </w:r>
    </w:p>
    <w:p w14:paraId="3D7CAA54">
      <w:pPr>
        <w:pStyle w:val="53"/>
        <w:spacing w:line="360" w:lineRule="exact"/>
        <w:ind w:firstLine="420"/>
        <w:jc w:val="left"/>
        <w:rPr>
          <w:rFonts w:hint="eastAsia" w:ascii="宋体" w:hAnsi="宋体" w:eastAsia="宋体" w:cs="宋体"/>
          <w:color w:val="auto"/>
          <w:sz w:val="21"/>
          <w:szCs w:val="21"/>
          <w:highlight w:val="none"/>
        </w:rPr>
      </w:pPr>
      <w:r>
        <w:rPr>
          <w:rFonts w:hint="eastAsia" w:cs="宋体"/>
          <w:color w:val="auto"/>
          <w:sz w:val="21"/>
          <w:szCs w:val="21"/>
          <w:highlight w:val="none"/>
        </w:rPr>
        <w:t>7.如果我单位的磋商响应文件被接受，愿按《中华人民共和国民法典》履行自己的全部责任，</w:t>
      </w:r>
      <w:r>
        <w:rPr>
          <w:rFonts w:hint="eastAsia" w:ascii="宋体" w:hAnsi="宋体" w:eastAsia="宋体" w:cs="宋体"/>
          <w:color w:val="auto"/>
          <w:sz w:val="21"/>
          <w:szCs w:val="21"/>
          <w:highlight w:val="none"/>
        </w:rPr>
        <w:t>同时严格履行竞争性磋商文件中规定的每一项要求，按期、按质、按量履行合同的义务。</w:t>
      </w:r>
    </w:p>
    <w:p w14:paraId="729F3473">
      <w:pPr>
        <w:pStyle w:val="53"/>
        <w:spacing w:line="36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.与本磋商有关的正式通讯地址为：</w:t>
      </w:r>
    </w:p>
    <w:p w14:paraId="60AC1B1C">
      <w:pPr>
        <w:pStyle w:val="53"/>
        <w:spacing w:line="360" w:lineRule="exact"/>
        <w:ind w:firstLine="420"/>
        <w:jc w:val="left"/>
        <w:rPr>
          <w:rFonts w:hint="eastAsia" w:ascii="宋体" w:hAnsi="宋体" w:eastAsia="宋体" w:cs="宋体"/>
          <w:color w:val="auto"/>
          <w:sz w:val="21"/>
          <w:szCs w:val="21"/>
          <w:highlight w:val="none"/>
        </w:rPr>
      </w:pPr>
    </w:p>
    <w:p w14:paraId="4598DA69">
      <w:pPr>
        <w:pStyle w:val="53"/>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14:paraId="13FFD4CD">
      <w:pPr>
        <w:pStyle w:val="53"/>
        <w:spacing w:line="360" w:lineRule="exact"/>
        <w:rPr>
          <w:rFonts w:cs="宋体"/>
          <w:color w:val="auto"/>
          <w:sz w:val="21"/>
          <w:szCs w:val="21"/>
          <w:highlight w:val="none"/>
        </w:rPr>
      </w:pPr>
      <w:r>
        <w:rPr>
          <w:rFonts w:hint="eastAsia" w:cs="宋体"/>
          <w:color w:val="auto"/>
          <w:sz w:val="21"/>
          <w:szCs w:val="21"/>
          <w:highlight w:val="none"/>
        </w:rPr>
        <w:t xml:space="preserve">电   话：                  </w:t>
      </w:r>
    </w:p>
    <w:p w14:paraId="58936A1A">
      <w:pPr>
        <w:pStyle w:val="53"/>
        <w:spacing w:line="360" w:lineRule="exact"/>
        <w:rPr>
          <w:rFonts w:cs="宋体"/>
          <w:color w:val="auto"/>
          <w:sz w:val="21"/>
          <w:szCs w:val="21"/>
          <w:highlight w:val="none"/>
        </w:rPr>
      </w:pPr>
      <w:r>
        <w:rPr>
          <w:rFonts w:hint="eastAsia" w:cs="宋体"/>
          <w:color w:val="auto"/>
          <w:sz w:val="21"/>
          <w:szCs w:val="21"/>
          <w:highlight w:val="none"/>
        </w:rPr>
        <w:t xml:space="preserve">传   真：                  </w:t>
      </w:r>
    </w:p>
    <w:p w14:paraId="5239E432">
      <w:pPr>
        <w:pStyle w:val="53"/>
        <w:spacing w:line="360" w:lineRule="exact"/>
        <w:rPr>
          <w:rFonts w:cs="宋体"/>
          <w:color w:val="auto"/>
          <w:sz w:val="21"/>
          <w:szCs w:val="21"/>
          <w:highlight w:val="none"/>
        </w:rPr>
      </w:pPr>
      <w:r>
        <w:rPr>
          <w:rFonts w:hint="eastAsia" w:cs="宋体"/>
          <w:color w:val="auto"/>
          <w:sz w:val="21"/>
          <w:szCs w:val="21"/>
          <w:highlight w:val="none"/>
        </w:rPr>
        <w:t xml:space="preserve">电子函件： </w:t>
      </w:r>
    </w:p>
    <w:p w14:paraId="2A5A590A">
      <w:pPr>
        <w:pStyle w:val="53"/>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14:paraId="67169631">
      <w:pPr>
        <w:pStyle w:val="53"/>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14:paraId="688CD387">
      <w:pPr>
        <w:pStyle w:val="53"/>
        <w:spacing w:line="360" w:lineRule="exact"/>
        <w:rPr>
          <w:rFonts w:cs="宋体"/>
          <w:color w:val="auto"/>
          <w:sz w:val="21"/>
          <w:szCs w:val="21"/>
          <w:highlight w:val="none"/>
        </w:rPr>
      </w:pPr>
      <w:r>
        <w:rPr>
          <w:rFonts w:hint="eastAsia" w:cs="宋体"/>
          <w:color w:val="auto"/>
          <w:sz w:val="21"/>
          <w:szCs w:val="21"/>
          <w:highlight w:val="none"/>
        </w:rPr>
        <w:t>日    期：     年    月    日.</w:t>
      </w:r>
    </w:p>
    <w:p w14:paraId="7D9BDA4D">
      <w:pPr>
        <w:pStyle w:val="20"/>
        <w:rPr>
          <w:rFonts w:ascii="宋体" w:hAnsi="宋体" w:cs="宋体"/>
          <w:color w:val="auto"/>
          <w:highlight w:val="none"/>
        </w:rPr>
      </w:pPr>
    </w:p>
    <w:p w14:paraId="5F12AA44">
      <w:pPr>
        <w:rPr>
          <w:rFonts w:ascii="宋体" w:hAnsi="宋体" w:cs="宋体"/>
          <w:color w:val="auto"/>
          <w:highlight w:val="none"/>
        </w:rPr>
      </w:pPr>
    </w:p>
    <w:p w14:paraId="6A1ADAED">
      <w:pPr>
        <w:rPr>
          <w:rFonts w:ascii="宋体" w:hAnsi="宋体" w:cs="宋体"/>
          <w:color w:val="auto"/>
          <w:highlight w:val="none"/>
        </w:rPr>
      </w:pPr>
    </w:p>
    <w:p w14:paraId="08B2496C">
      <w:pPr>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br w:type="page"/>
      </w:r>
    </w:p>
    <w:p w14:paraId="6C4CF93E">
      <w:pPr>
        <w:pStyle w:val="53"/>
        <w:spacing w:line="360" w:lineRule="exact"/>
        <w:outlineLvl w:val="0"/>
        <w:rPr>
          <w:rFonts w:cs="宋体"/>
          <w:b/>
          <w:color w:val="auto"/>
          <w:sz w:val="28"/>
          <w:szCs w:val="28"/>
          <w:highlight w:val="none"/>
        </w:rPr>
      </w:pPr>
      <w:r>
        <w:rPr>
          <w:rFonts w:hint="eastAsia" w:cs="宋体"/>
          <w:b/>
          <w:color w:val="auto"/>
          <w:sz w:val="28"/>
          <w:szCs w:val="28"/>
          <w:highlight w:val="none"/>
        </w:rPr>
        <w:t>3.法定代表人资格证明书</w:t>
      </w:r>
    </w:p>
    <w:p w14:paraId="6002C006">
      <w:pPr>
        <w:rPr>
          <w:rFonts w:ascii="宋体" w:hAnsi="宋体" w:cs="宋体"/>
          <w:color w:val="auto"/>
          <w:highlight w:val="none"/>
        </w:rPr>
      </w:pPr>
    </w:p>
    <w:p w14:paraId="648D93CC">
      <w:pPr>
        <w:spacing w:line="360" w:lineRule="auto"/>
        <w:jc w:val="center"/>
        <w:rPr>
          <w:rFonts w:ascii="宋体" w:hAnsi="宋体" w:cs="宋体"/>
          <w:b/>
          <w:color w:val="auto"/>
          <w:sz w:val="32"/>
          <w:szCs w:val="32"/>
          <w:highlight w:val="none"/>
        </w:rPr>
      </w:pPr>
      <w:r>
        <w:rPr>
          <w:rFonts w:hint="eastAsia" w:ascii="宋体" w:hAnsi="宋体" w:cs="宋体"/>
          <w:b/>
          <w:color w:val="auto"/>
          <w:sz w:val="28"/>
          <w:szCs w:val="28"/>
          <w:highlight w:val="none"/>
        </w:rPr>
        <w:t>法定代表人资格证明书</w:t>
      </w:r>
    </w:p>
    <w:p w14:paraId="266BEF59">
      <w:pPr>
        <w:spacing w:line="360" w:lineRule="auto"/>
        <w:rPr>
          <w:rFonts w:ascii="宋体" w:hAnsi="宋体" w:cs="宋体"/>
          <w:color w:val="auto"/>
          <w:szCs w:val="21"/>
          <w:highlight w:val="none"/>
        </w:rPr>
      </w:pPr>
      <w:r>
        <w:rPr>
          <w:rFonts w:hint="eastAsia" w:ascii="宋体" w:hAnsi="宋体" w:cs="宋体"/>
          <w:color w:val="auto"/>
          <w:szCs w:val="21"/>
          <w:highlight w:val="none"/>
        </w:rPr>
        <w:t>供应商名称:</w:t>
      </w:r>
    </w:p>
    <w:p w14:paraId="15C9F4F0">
      <w:pPr>
        <w:spacing w:line="360" w:lineRule="auto"/>
        <w:rPr>
          <w:rFonts w:ascii="宋体" w:hAnsi="宋体" w:cs="宋体"/>
          <w:color w:val="auto"/>
          <w:szCs w:val="21"/>
          <w:highlight w:val="none"/>
        </w:rPr>
      </w:pPr>
      <w:r>
        <w:rPr>
          <w:rFonts w:hint="eastAsia" w:ascii="宋体" w:hAnsi="宋体" w:cs="宋体"/>
          <w:color w:val="auto"/>
          <w:szCs w:val="21"/>
          <w:highlight w:val="none"/>
        </w:rPr>
        <w:t>地址:</w:t>
      </w:r>
    </w:p>
    <w:p w14:paraId="7FC65939">
      <w:pPr>
        <w:spacing w:line="360" w:lineRule="auto"/>
        <w:rPr>
          <w:rFonts w:ascii="宋体" w:hAnsi="宋体" w:cs="宋体"/>
          <w:color w:val="auto"/>
          <w:szCs w:val="21"/>
          <w:highlight w:val="none"/>
        </w:rPr>
      </w:pPr>
      <w:r>
        <w:rPr>
          <w:rFonts w:hint="eastAsia" w:ascii="宋体" w:hAnsi="宋体" w:cs="宋体"/>
          <w:color w:val="auto"/>
          <w:szCs w:val="21"/>
          <w:highlight w:val="none"/>
        </w:rPr>
        <w:t>姓名:            性别:        年龄:        职务:</w:t>
      </w:r>
    </w:p>
    <w:p w14:paraId="7759EF31">
      <w:pPr>
        <w:spacing w:line="360" w:lineRule="auto"/>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的法定代表人。为实施 </w:t>
      </w:r>
      <w:r>
        <w:rPr>
          <w:rFonts w:hint="eastAsia" w:ascii="宋体" w:hAnsi="宋体" w:cs="宋体"/>
          <w:color w:val="auto"/>
          <w:szCs w:val="21"/>
          <w:highlight w:val="none"/>
          <w:u w:val="single"/>
        </w:rPr>
        <w:t xml:space="preserve">           （      号） </w:t>
      </w:r>
      <w:r>
        <w:rPr>
          <w:rFonts w:hint="eastAsia" w:ascii="宋体" w:hAnsi="宋体" w:cs="宋体"/>
          <w:color w:val="auto"/>
          <w:szCs w:val="21"/>
          <w:highlight w:val="none"/>
        </w:rPr>
        <w:t>的工作，签署上述项目的磋商响应文件、进行合同谈判、签署合同和处理与之有关的一切事务。</w:t>
      </w:r>
    </w:p>
    <w:p w14:paraId="503A2502">
      <w:pPr>
        <w:spacing w:line="360" w:lineRule="auto"/>
        <w:rPr>
          <w:rFonts w:ascii="宋体" w:hAnsi="宋体" w:cs="宋体"/>
          <w:color w:val="auto"/>
          <w:szCs w:val="21"/>
          <w:highlight w:val="none"/>
        </w:rPr>
      </w:pPr>
      <w:r>
        <w:rPr>
          <w:rFonts w:hint="eastAsia" w:ascii="宋体" w:hAnsi="宋体" w:cs="宋体"/>
          <w:color w:val="auto"/>
          <w:szCs w:val="21"/>
          <w:highlight w:val="none"/>
        </w:rPr>
        <w:t>特此证明。</w:t>
      </w:r>
    </w:p>
    <w:p w14:paraId="61AAA174">
      <w:pPr>
        <w:spacing w:line="360" w:lineRule="auto"/>
        <w:rPr>
          <w:rFonts w:ascii="宋体" w:hAnsi="宋体" w:cs="宋体"/>
          <w:color w:val="auto"/>
          <w:szCs w:val="21"/>
          <w:highlight w:val="none"/>
        </w:rPr>
      </w:pPr>
    </w:p>
    <w:p w14:paraId="6A00D646">
      <w:pPr>
        <w:spacing w:line="360" w:lineRule="auto"/>
        <w:rPr>
          <w:rFonts w:ascii="宋体" w:hAnsi="宋体" w:cs="宋体"/>
          <w:color w:val="auto"/>
          <w:szCs w:val="21"/>
          <w:highlight w:val="none"/>
        </w:rPr>
      </w:pPr>
    </w:p>
    <w:p w14:paraId="3D29344A">
      <w:pPr>
        <w:spacing w:line="360" w:lineRule="auto"/>
        <w:rPr>
          <w:rFonts w:ascii="宋体" w:hAnsi="宋体" w:cs="宋体"/>
          <w:color w:val="auto"/>
          <w:szCs w:val="21"/>
          <w:highlight w:val="none"/>
        </w:rPr>
      </w:pPr>
      <w:r>
        <w:rPr>
          <w:rFonts w:hint="eastAsia" w:ascii="宋体" w:hAnsi="宋体" w:cs="宋体"/>
          <w:color w:val="auto"/>
          <w:szCs w:val="21"/>
          <w:highlight w:val="none"/>
        </w:rPr>
        <w:t>                 供应商：（公章）</w:t>
      </w:r>
    </w:p>
    <w:p w14:paraId="70C7D432">
      <w:pPr>
        <w:spacing w:line="360" w:lineRule="auto"/>
        <w:rPr>
          <w:rFonts w:ascii="宋体" w:hAnsi="宋体" w:cs="宋体"/>
          <w:color w:val="auto"/>
          <w:szCs w:val="21"/>
          <w:highlight w:val="none"/>
        </w:rPr>
      </w:pPr>
      <w:r>
        <w:rPr>
          <w:rFonts w:hint="eastAsia" w:ascii="宋体" w:hAnsi="宋体" w:cs="宋体"/>
          <w:color w:val="auto"/>
          <w:szCs w:val="21"/>
          <w:highlight w:val="none"/>
        </w:rPr>
        <w:t>                     法定代表人签字或盖章：</w:t>
      </w:r>
    </w:p>
    <w:p w14:paraId="3D246FC9">
      <w:pPr>
        <w:spacing w:line="360" w:lineRule="auto"/>
        <w:ind w:firstLine="3570" w:firstLineChars="1700"/>
        <w:rPr>
          <w:rFonts w:ascii="宋体" w:hAnsi="宋体" w:cs="宋体"/>
          <w:color w:val="auto"/>
          <w:szCs w:val="21"/>
          <w:highlight w:val="none"/>
        </w:rPr>
      </w:pPr>
      <w:r>
        <w:rPr>
          <w:rFonts w:hint="eastAsia" w:ascii="宋体" w:hAnsi="宋体" w:cs="宋体"/>
          <w:color w:val="auto"/>
          <w:szCs w:val="21"/>
          <w:highlight w:val="none"/>
        </w:rPr>
        <w:t>日期：    年    月    日</w:t>
      </w:r>
    </w:p>
    <w:p w14:paraId="39E141F8">
      <w:pPr>
        <w:tabs>
          <w:tab w:val="left" w:pos="6045"/>
        </w:tabs>
        <w:snapToGrid w:val="0"/>
        <w:spacing w:line="360" w:lineRule="auto"/>
        <w:ind w:left="210" w:hanging="210" w:hangingChars="100"/>
        <w:rPr>
          <w:rFonts w:ascii="宋体" w:hAnsi="宋体" w:cs="宋体"/>
          <w:color w:val="auto"/>
          <w:szCs w:val="21"/>
          <w:highlight w:val="none"/>
        </w:rPr>
      </w:pPr>
    </w:p>
    <w:p w14:paraId="11AC99A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w:t>
      </w:r>
    </w:p>
    <w:p w14:paraId="258FEF0B">
      <w:pPr>
        <w:snapToGrid w:val="0"/>
        <w:spacing w:line="360" w:lineRule="auto"/>
        <w:rPr>
          <w:rFonts w:ascii="宋体" w:hAnsi="宋体" w:cs="宋体"/>
          <w:color w:val="auto"/>
          <w:szCs w:val="21"/>
          <w:highlight w:val="none"/>
        </w:rPr>
      </w:pPr>
    </w:p>
    <w:p w14:paraId="1DD23C22">
      <w:pPr>
        <w:snapToGrid w:val="0"/>
        <w:spacing w:line="360" w:lineRule="auto"/>
        <w:rPr>
          <w:rFonts w:ascii="宋体" w:hAnsi="宋体" w:cs="宋体"/>
          <w:b/>
          <w:color w:val="auto"/>
          <w:szCs w:val="21"/>
          <w:highlight w:val="none"/>
        </w:rPr>
      </w:pPr>
    </w:p>
    <w:p w14:paraId="2559B49A">
      <w:pPr>
        <w:spacing w:line="360" w:lineRule="auto"/>
        <w:rPr>
          <w:rFonts w:ascii="宋体" w:hAnsi="宋体" w:cs="宋体"/>
          <w:color w:val="auto"/>
          <w:szCs w:val="21"/>
          <w:highlight w:val="none"/>
        </w:rPr>
      </w:pPr>
      <w:r>
        <w:rPr>
          <w:rFonts w:hint="eastAsia" w:ascii="宋体" w:hAnsi="宋体" w:cs="宋体"/>
          <w:color w:val="auto"/>
          <w:szCs w:val="21"/>
          <w:highlight w:val="none"/>
        </w:rPr>
        <w:t>法定代表人身份证</w:t>
      </w:r>
    </w:p>
    <w:p w14:paraId="7D724006">
      <w:pPr>
        <w:spacing w:line="360" w:lineRule="auto"/>
        <w:rPr>
          <w:rFonts w:ascii="宋体" w:hAnsi="宋体" w:cs="宋体"/>
          <w:color w:val="auto"/>
          <w:szCs w:val="21"/>
          <w:highlight w:val="none"/>
        </w:rPr>
      </w:pPr>
      <w:r>
        <w:rPr>
          <w:rFonts w:hint="eastAsia" w:ascii="宋体" w:hAnsi="宋体" w:cs="宋体"/>
          <w:color w:val="auto"/>
          <w:szCs w:val="21"/>
          <w:highlight w:val="none"/>
        </w:rPr>
        <w:t>（双面复印件）粘贴处</w:t>
      </w:r>
    </w:p>
    <w:p w14:paraId="230F1C58">
      <w:pPr>
        <w:snapToGrid w:val="0"/>
        <w:spacing w:line="360" w:lineRule="auto"/>
        <w:rPr>
          <w:rFonts w:ascii="宋体" w:hAnsi="宋体" w:cs="宋体"/>
          <w:b/>
          <w:color w:val="auto"/>
          <w:sz w:val="24"/>
          <w:szCs w:val="28"/>
          <w:highlight w:val="none"/>
        </w:rPr>
      </w:pPr>
    </w:p>
    <w:p w14:paraId="15BF20AE">
      <w:pPr>
        <w:snapToGrid w:val="0"/>
        <w:spacing w:line="360" w:lineRule="auto"/>
        <w:rPr>
          <w:rFonts w:ascii="宋体" w:hAnsi="宋体" w:cs="宋体"/>
          <w:b/>
          <w:color w:val="auto"/>
          <w:sz w:val="24"/>
          <w:szCs w:val="28"/>
          <w:highlight w:val="none"/>
        </w:rPr>
      </w:pPr>
    </w:p>
    <w:p w14:paraId="60557C57">
      <w:pPr>
        <w:rPr>
          <w:rFonts w:ascii="宋体" w:hAnsi="宋体" w:cs="宋体"/>
          <w:color w:val="auto"/>
          <w:highlight w:val="none"/>
        </w:rPr>
      </w:pPr>
    </w:p>
    <w:p w14:paraId="4A8FFA3C">
      <w:pPr>
        <w:rPr>
          <w:rFonts w:ascii="宋体" w:hAnsi="宋体" w:cs="宋体"/>
          <w:color w:val="auto"/>
          <w:highlight w:val="none"/>
        </w:rPr>
      </w:pPr>
    </w:p>
    <w:p w14:paraId="107FA777">
      <w:pPr>
        <w:rPr>
          <w:rFonts w:ascii="宋体" w:hAnsi="宋体" w:cs="宋体"/>
          <w:color w:val="auto"/>
          <w:highlight w:val="none"/>
        </w:rPr>
      </w:pPr>
    </w:p>
    <w:p w14:paraId="0C4847A4">
      <w:pPr>
        <w:rPr>
          <w:rFonts w:ascii="宋体" w:hAnsi="宋体" w:cs="宋体"/>
          <w:color w:val="auto"/>
          <w:highlight w:val="none"/>
        </w:rPr>
      </w:pPr>
    </w:p>
    <w:p w14:paraId="4BF11606">
      <w:pPr>
        <w:rPr>
          <w:rFonts w:ascii="宋体" w:hAnsi="宋体" w:cs="宋体"/>
          <w:color w:val="auto"/>
          <w:highlight w:val="none"/>
        </w:rPr>
      </w:pPr>
    </w:p>
    <w:p w14:paraId="7AE6CDE6">
      <w:pPr>
        <w:rPr>
          <w:rFonts w:ascii="宋体" w:hAnsi="宋体" w:cs="宋体"/>
          <w:color w:val="auto"/>
          <w:highlight w:val="none"/>
        </w:rPr>
      </w:pPr>
    </w:p>
    <w:p w14:paraId="0375FC13">
      <w:pPr>
        <w:rPr>
          <w:rFonts w:ascii="宋体" w:hAnsi="宋体" w:cs="宋体"/>
          <w:color w:val="auto"/>
          <w:highlight w:val="none"/>
        </w:rPr>
      </w:pPr>
    </w:p>
    <w:p w14:paraId="605420C5">
      <w:pPr>
        <w:rPr>
          <w:rFonts w:ascii="宋体" w:hAnsi="宋体" w:cs="宋体"/>
          <w:color w:val="auto"/>
          <w:highlight w:val="none"/>
        </w:rPr>
      </w:pPr>
    </w:p>
    <w:p w14:paraId="167A046E">
      <w:pPr>
        <w:rPr>
          <w:rFonts w:ascii="宋体" w:hAnsi="宋体" w:cs="宋体"/>
          <w:color w:val="auto"/>
          <w:highlight w:val="none"/>
        </w:rPr>
      </w:pPr>
    </w:p>
    <w:p w14:paraId="6208A1C9">
      <w:pPr>
        <w:pageBreakBefore/>
        <w:spacing w:line="360" w:lineRule="auto"/>
        <w:outlineLvl w:val="0"/>
        <w:rPr>
          <w:rFonts w:ascii="宋体" w:hAnsi="宋体" w:cs="宋体"/>
          <w:b/>
          <w:color w:val="auto"/>
          <w:sz w:val="28"/>
          <w:highlight w:val="none"/>
        </w:rPr>
      </w:pPr>
      <w:r>
        <w:rPr>
          <w:rFonts w:hint="eastAsia" w:ascii="宋体" w:hAnsi="宋体" w:cs="宋体"/>
          <w:b/>
          <w:color w:val="auto"/>
          <w:sz w:val="28"/>
          <w:highlight w:val="none"/>
        </w:rPr>
        <w:t>4.授权委托书</w:t>
      </w:r>
    </w:p>
    <w:p w14:paraId="00339435">
      <w:pPr>
        <w:pStyle w:val="53"/>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14:paraId="55C97637">
      <w:pPr>
        <w:adjustRightInd w:val="0"/>
        <w:snapToGrid w:val="0"/>
        <w:spacing w:line="360" w:lineRule="auto"/>
        <w:ind w:firstLine="516" w:firstLineChars="215"/>
        <w:rPr>
          <w:rFonts w:ascii="宋体" w:hAnsi="宋体" w:cs="宋体"/>
          <w:color w:val="auto"/>
          <w:sz w:val="24"/>
          <w:szCs w:val="24"/>
          <w:highlight w:val="none"/>
        </w:rPr>
      </w:pPr>
    </w:p>
    <w:p w14:paraId="2CC90854">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14:paraId="37515968">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14:paraId="46DFAAEB">
      <w:pPr>
        <w:adjustRightInd w:val="0"/>
        <w:snapToGrid w:val="0"/>
        <w:spacing w:line="360" w:lineRule="auto"/>
        <w:rPr>
          <w:rFonts w:ascii="宋体" w:hAnsi="宋体" w:cs="宋体"/>
          <w:color w:val="auto"/>
          <w:sz w:val="24"/>
          <w:szCs w:val="24"/>
          <w:highlight w:val="none"/>
        </w:rPr>
      </w:pPr>
    </w:p>
    <w:p w14:paraId="0DACE5CC">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14:paraId="3CF87037">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21F5D529">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6EFF3DF0">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50F81B4B">
      <w:pPr>
        <w:spacing w:line="400" w:lineRule="exact"/>
        <w:rPr>
          <w:rFonts w:ascii="宋体" w:hAnsi="宋体" w:cs="宋体"/>
          <w:color w:val="auto"/>
          <w:szCs w:val="21"/>
          <w:highlight w:val="none"/>
        </w:rPr>
      </w:pPr>
    </w:p>
    <w:p w14:paraId="593BF6DE">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14:paraId="6C7A8EB1">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34C119A8">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6F021786">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3E4D532F">
      <w:pPr>
        <w:spacing w:line="400" w:lineRule="exact"/>
        <w:rPr>
          <w:rFonts w:ascii="宋体" w:hAnsi="宋体" w:cs="宋体"/>
          <w:color w:val="auto"/>
          <w:szCs w:val="21"/>
          <w:highlight w:val="none"/>
        </w:rPr>
      </w:pPr>
    </w:p>
    <w:p w14:paraId="377D144E">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14:paraId="5480D332">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14:paraId="6D32FD5A">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14:paraId="582E5DE1">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14:paraId="05D46811">
      <w:pPr>
        <w:spacing w:line="400" w:lineRule="exact"/>
        <w:rPr>
          <w:rFonts w:ascii="宋体" w:hAnsi="宋体" w:cs="宋体"/>
          <w:color w:val="auto"/>
          <w:szCs w:val="21"/>
          <w:highlight w:val="none"/>
        </w:rPr>
      </w:pPr>
      <w:r>
        <w:rPr>
          <w:rFonts w:hint="eastAsia" w:ascii="宋体" w:hAnsi="宋体" w:cs="宋体"/>
          <w:color w:val="auto"/>
          <w:szCs w:val="21"/>
          <w:highlight w:val="none"/>
        </w:rPr>
        <w:t>账号：</w:t>
      </w:r>
    </w:p>
    <w:p w14:paraId="40A91A29">
      <w:pPr>
        <w:spacing w:line="400" w:lineRule="exact"/>
        <w:rPr>
          <w:rFonts w:ascii="宋体" w:hAnsi="宋体" w:cs="宋体"/>
          <w:color w:val="auto"/>
          <w:szCs w:val="21"/>
          <w:highlight w:val="none"/>
        </w:rPr>
      </w:pPr>
    </w:p>
    <w:p w14:paraId="325D6366">
      <w:pPr>
        <w:spacing w:line="400" w:lineRule="exact"/>
        <w:rPr>
          <w:rFonts w:ascii="宋体" w:hAnsi="宋体" w:cs="宋体"/>
          <w:color w:val="auto"/>
          <w:szCs w:val="21"/>
          <w:highlight w:val="none"/>
        </w:rPr>
      </w:pPr>
      <w:r>
        <w:rPr>
          <w:rFonts w:hint="eastAsia" w:ascii="宋体" w:hAnsi="宋体" w:cs="宋体"/>
          <w:color w:val="auto"/>
          <w:szCs w:val="21"/>
          <w:highlight w:val="none"/>
        </w:rPr>
        <w:t>代理人身份证</w:t>
      </w:r>
    </w:p>
    <w:p w14:paraId="43BB04FD">
      <w:pPr>
        <w:spacing w:line="360" w:lineRule="auto"/>
        <w:rPr>
          <w:rFonts w:ascii="宋体" w:hAnsi="宋体" w:cs="宋体"/>
          <w:color w:val="auto"/>
          <w:sz w:val="24"/>
          <w:szCs w:val="24"/>
          <w:highlight w:val="none"/>
        </w:rPr>
      </w:pPr>
      <w:r>
        <w:rPr>
          <w:rFonts w:hint="eastAsia" w:ascii="宋体" w:hAnsi="宋体" w:cs="宋体"/>
          <w:color w:val="auto"/>
          <w:szCs w:val="21"/>
          <w:highlight w:val="none"/>
        </w:rPr>
        <w:t>（双面复印件）粘贴处</w:t>
      </w:r>
    </w:p>
    <w:p w14:paraId="78BB3BF1">
      <w:pPr>
        <w:spacing w:line="360" w:lineRule="auto"/>
        <w:rPr>
          <w:rFonts w:ascii="宋体" w:hAnsi="宋体" w:cs="宋体"/>
          <w:color w:val="auto"/>
          <w:sz w:val="24"/>
          <w:szCs w:val="24"/>
          <w:highlight w:val="none"/>
        </w:rPr>
      </w:pPr>
    </w:p>
    <w:p w14:paraId="41F78B2E">
      <w:pPr>
        <w:spacing w:line="360" w:lineRule="auto"/>
        <w:rPr>
          <w:rFonts w:ascii="宋体" w:hAnsi="宋体" w:cs="宋体"/>
          <w:color w:val="auto"/>
          <w:szCs w:val="21"/>
          <w:highlight w:val="none"/>
        </w:rPr>
      </w:pPr>
    </w:p>
    <w:p w14:paraId="420C7DD5">
      <w:pPr>
        <w:rPr>
          <w:rFonts w:ascii="宋体" w:hAnsi="宋体" w:cs="宋体"/>
          <w:b/>
          <w:color w:val="auto"/>
          <w:sz w:val="28"/>
          <w:szCs w:val="28"/>
          <w:highlight w:val="none"/>
        </w:rPr>
      </w:pPr>
      <w:r>
        <w:rPr>
          <w:rFonts w:ascii="宋体" w:hAnsi="宋体" w:cs="宋体"/>
          <w:b/>
          <w:color w:val="auto"/>
          <w:sz w:val="28"/>
          <w:szCs w:val="28"/>
          <w:highlight w:val="none"/>
        </w:rPr>
        <w:br w:type="page"/>
      </w:r>
    </w:p>
    <w:p w14:paraId="5F506DC2">
      <w:pPr>
        <w:textAlignment w:val="baseline"/>
        <w:outlineLvl w:val="0"/>
        <w:rPr>
          <w:b/>
          <w:color w:val="auto"/>
          <w:sz w:val="28"/>
          <w:szCs w:val="28"/>
          <w:highlight w:val="none"/>
        </w:rPr>
      </w:pPr>
      <w:r>
        <w:rPr>
          <w:rFonts w:ascii="宋体" w:hAnsi="宋体" w:cs="宋体"/>
          <w:b/>
          <w:color w:val="auto"/>
          <w:sz w:val="28"/>
          <w:szCs w:val="22"/>
          <w:highlight w:val="none"/>
        </w:rPr>
        <w:t>5</w:t>
      </w:r>
      <w:r>
        <w:rPr>
          <w:rFonts w:ascii="宋体" w:hAnsi="宋体" w:cs="宋体"/>
          <w:b/>
          <w:color w:val="auto"/>
          <w:sz w:val="28"/>
          <w:szCs w:val="28"/>
          <w:highlight w:val="none"/>
        </w:rPr>
        <w:t>.</w:t>
      </w:r>
      <w:r>
        <w:rPr>
          <w:rFonts w:hint="eastAsia"/>
          <w:b/>
          <w:color w:val="auto"/>
          <w:sz w:val="28"/>
          <w:szCs w:val="28"/>
          <w:highlight w:val="none"/>
        </w:rPr>
        <w:t>磋商供应商管理关系或控股关系信息情况表</w:t>
      </w:r>
    </w:p>
    <w:p w14:paraId="430B3209">
      <w:pPr>
        <w:spacing w:line="520" w:lineRule="exact"/>
        <w:ind w:firstLine="560"/>
        <w:jc w:val="center"/>
        <w:textAlignment w:val="baseline"/>
        <w:rPr>
          <w:b/>
          <w:color w:val="auto"/>
          <w:sz w:val="28"/>
          <w:szCs w:val="28"/>
          <w:highlight w:val="none"/>
        </w:rPr>
      </w:pPr>
    </w:p>
    <w:p w14:paraId="788A051E">
      <w:pPr>
        <w:spacing w:line="520" w:lineRule="exact"/>
        <w:ind w:firstLine="560"/>
        <w:jc w:val="center"/>
        <w:textAlignment w:val="baseline"/>
        <w:rPr>
          <w:rFonts w:ascii="宋体" w:hAnsi="宋体" w:cs="宋体"/>
          <w:b/>
          <w:bCs/>
          <w:color w:val="auto"/>
          <w:sz w:val="32"/>
          <w:szCs w:val="32"/>
          <w:highlight w:val="none"/>
        </w:rPr>
      </w:pPr>
      <w:r>
        <w:rPr>
          <w:rFonts w:hint="eastAsia"/>
          <w:b/>
          <w:color w:val="auto"/>
          <w:sz w:val="28"/>
          <w:szCs w:val="28"/>
          <w:highlight w:val="none"/>
        </w:rPr>
        <w:t>磋商供应商管理关系或控股关系信息情况表</w:t>
      </w:r>
    </w:p>
    <w:tbl>
      <w:tblPr>
        <w:tblStyle w:val="25"/>
        <w:tblW w:w="874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494"/>
        <w:gridCol w:w="1993"/>
        <w:gridCol w:w="1452"/>
        <w:gridCol w:w="2806"/>
      </w:tblGrid>
      <w:tr w14:paraId="2EA515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63" w:hRule="atLeast"/>
          <w:jc w:val="center"/>
        </w:trPr>
        <w:tc>
          <w:tcPr>
            <w:tcW w:w="2494" w:type="dxa"/>
            <w:tcBorders>
              <w:top w:val="single" w:color="auto" w:sz="6" w:space="0"/>
              <w:left w:val="single" w:color="auto" w:sz="6" w:space="0"/>
              <w:bottom w:val="single" w:color="auto" w:sz="6" w:space="0"/>
              <w:right w:val="single" w:color="auto" w:sz="6" w:space="0"/>
            </w:tcBorders>
            <w:vAlign w:val="center"/>
          </w:tcPr>
          <w:p w14:paraId="308A058C">
            <w:pPr>
              <w:snapToGrid w:val="0"/>
              <w:spacing w:line="360" w:lineRule="exact"/>
              <w:ind w:firstLine="560"/>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法定代表人</w:t>
            </w:r>
          </w:p>
        </w:tc>
        <w:tc>
          <w:tcPr>
            <w:tcW w:w="1993" w:type="dxa"/>
            <w:tcBorders>
              <w:top w:val="single" w:color="auto" w:sz="6" w:space="0"/>
              <w:left w:val="single" w:color="auto" w:sz="6" w:space="0"/>
              <w:bottom w:val="single" w:color="auto" w:sz="6" w:space="0"/>
              <w:right w:val="single" w:color="auto" w:sz="6" w:space="0"/>
            </w:tcBorders>
            <w:vAlign w:val="center"/>
          </w:tcPr>
          <w:p w14:paraId="4EC5E3EF">
            <w:pPr>
              <w:snapToGrid w:val="0"/>
              <w:spacing w:line="360" w:lineRule="exact"/>
              <w:ind w:firstLine="560"/>
              <w:jc w:val="left"/>
              <w:textAlignment w:val="baseline"/>
              <w:rPr>
                <w:rFonts w:ascii="宋体" w:hAnsi="宋体" w:cs="宋体"/>
                <w:color w:val="auto"/>
                <w:sz w:val="20"/>
                <w:szCs w:val="21"/>
                <w:highlight w:val="none"/>
              </w:rPr>
            </w:pPr>
          </w:p>
        </w:tc>
        <w:tc>
          <w:tcPr>
            <w:tcW w:w="1452" w:type="dxa"/>
            <w:tcBorders>
              <w:top w:val="single" w:color="auto" w:sz="6" w:space="0"/>
              <w:left w:val="single" w:color="auto" w:sz="6" w:space="0"/>
              <w:bottom w:val="single" w:color="auto" w:sz="6" w:space="0"/>
              <w:right w:val="single" w:color="auto" w:sz="6" w:space="0"/>
            </w:tcBorders>
            <w:vAlign w:val="center"/>
          </w:tcPr>
          <w:p w14:paraId="3FB3FA55">
            <w:pPr>
              <w:snapToGrid w:val="0"/>
              <w:spacing w:line="360" w:lineRule="exact"/>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成立日期</w:t>
            </w:r>
          </w:p>
        </w:tc>
        <w:tc>
          <w:tcPr>
            <w:tcW w:w="2806" w:type="dxa"/>
            <w:tcBorders>
              <w:top w:val="single" w:color="auto" w:sz="6" w:space="0"/>
              <w:left w:val="single" w:color="auto" w:sz="6" w:space="0"/>
              <w:bottom w:val="single" w:color="auto" w:sz="6" w:space="0"/>
              <w:right w:val="single" w:color="auto" w:sz="6" w:space="0"/>
            </w:tcBorders>
            <w:vAlign w:val="center"/>
          </w:tcPr>
          <w:p w14:paraId="1582968F">
            <w:pPr>
              <w:snapToGrid w:val="0"/>
              <w:spacing w:line="360" w:lineRule="exact"/>
              <w:ind w:firstLine="560"/>
              <w:jc w:val="left"/>
              <w:textAlignment w:val="baseline"/>
              <w:rPr>
                <w:rFonts w:ascii="宋体" w:hAnsi="宋体" w:cs="宋体"/>
                <w:color w:val="auto"/>
                <w:sz w:val="20"/>
                <w:szCs w:val="21"/>
                <w:highlight w:val="none"/>
              </w:rPr>
            </w:pPr>
          </w:p>
        </w:tc>
      </w:tr>
      <w:tr w14:paraId="2581AF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12" w:hRule="atLeast"/>
          <w:jc w:val="center"/>
        </w:trPr>
        <w:tc>
          <w:tcPr>
            <w:tcW w:w="2494" w:type="dxa"/>
            <w:tcBorders>
              <w:top w:val="single" w:color="auto" w:sz="6" w:space="0"/>
              <w:left w:val="single" w:color="auto" w:sz="6" w:space="0"/>
              <w:bottom w:val="single" w:color="auto" w:sz="6" w:space="0"/>
              <w:right w:val="single" w:color="auto" w:sz="6" w:space="0"/>
            </w:tcBorders>
            <w:vAlign w:val="center"/>
          </w:tcPr>
          <w:p w14:paraId="105BAA3A">
            <w:pPr>
              <w:snapToGrid w:val="0"/>
              <w:spacing w:line="360" w:lineRule="exact"/>
              <w:ind w:firstLine="560"/>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企业地址</w:t>
            </w:r>
          </w:p>
        </w:tc>
        <w:tc>
          <w:tcPr>
            <w:tcW w:w="1993" w:type="dxa"/>
            <w:tcBorders>
              <w:top w:val="single" w:color="auto" w:sz="6" w:space="0"/>
              <w:left w:val="single" w:color="auto" w:sz="6" w:space="0"/>
              <w:bottom w:val="single" w:color="auto" w:sz="6" w:space="0"/>
              <w:right w:val="single" w:color="auto" w:sz="6" w:space="0"/>
            </w:tcBorders>
            <w:vAlign w:val="center"/>
          </w:tcPr>
          <w:p w14:paraId="59F4B5F8">
            <w:pPr>
              <w:snapToGrid w:val="0"/>
              <w:spacing w:line="360" w:lineRule="exact"/>
              <w:ind w:firstLine="560"/>
              <w:jc w:val="left"/>
              <w:textAlignment w:val="baseline"/>
              <w:rPr>
                <w:rFonts w:ascii="宋体" w:hAnsi="宋体" w:cs="宋体"/>
                <w:color w:val="auto"/>
                <w:sz w:val="20"/>
                <w:szCs w:val="21"/>
                <w:highlight w:val="none"/>
              </w:rPr>
            </w:pPr>
          </w:p>
        </w:tc>
        <w:tc>
          <w:tcPr>
            <w:tcW w:w="1452" w:type="dxa"/>
            <w:tcBorders>
              <w:top w:val="single" w:color="auto" w:sz="6" w:space="0"/>
              <w:left w:val="single" w:color="auto" w:sz="6" w:space="0"/>
              <w:bottom w:val="single" w:color="auto" w:sz="6" w:space="0"/>
              <w:right w:val="single" w:color="auto" w:sz="6" w:space="0"/>
            </w:tcBorders>
            <w:vAlign w:val="center"/>
          </w:tcPr>
          <w:p w14:paraId="479F579E">
            <w:pPr>
              <w:snapToGrid w:val="0"/>
              <w:spacing w:line="360" w:lineRule="exact"/>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注册资本</w:t>
            </w:r>
          </w:p>
        </w:tc>
        <w:tc>
          <w:tcPr>
            <w:tcW w:w="2806" w:type="dxa"/>
            <w:tcBorders>
              <w:top w:val="single" w:color="auto" w:sz="6" w:space="0"/>
              <w:left w:val="single" w:color="auto" w:sz="6" w:space="0"/>
              <w:bottom w:val="single" w:color="auto" w:sz="6" w:space="0"/>
              <w:right w:val="single" w:color="auto" w:sz="6" w:space="0"/>
            </w:tcBorders>
            <w:vAlign w:val="center"/>
          </w:tcPr>
          <w:p w14:paraId="47F24B62">
            <w:pPr>
              <w:snapToGrid w:val="0"/>
              <w:spacing w:line="360" w:lineRule="exact"/>
              <w:ind w:firstLine="560"/>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万元</w:t>
            </w:r>
          </w:p>
        </w:tc>
      </w:tr>
      <w:tr w14:paraId="761827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12" w:hRule="atLeast"/>
          <w:jc w:val="center"/>
        </w:trPr>
        <w:tc>
          <w:tcPr>
            <w:tcW w:w="2494" w:type="dxa"/>
            <w:tcBorders>
              <w:top w:val="single" w:color="auto" w:sz="6" w:space="0"/>
              <w:left w:val="single" w:color="auto" w:sz="6" w:space="0"/>
              <w:bottom w:val="single" w:color="auto" w:sz="6" w:space="0"/>
              <w:right w:val="single" w:color="auto" w:sz="6" w:space="0"/>
            </w:tcBorders>
            <w:vAlign w:val="center"/>
          </w:tcPr>
          <w:p w14:paraId="1A2FF07B">
            <w:pPr>
              <w:snapToGrid w:val="0"/>
              <w:spacing w:line="360" w:lineRule="exact"/>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统一社会信用代码</w:t>
            </w:r>
          </w:p>
        </w:tc>
        <w:tc>
          <w:tcPr>
            <w:tcW w:w="6251" w:type="dxa"/>
            <w:gridSpan w:val="3"/>
            <w:tcBorders>
              <w:top w:val="single" w:color="auto" w:sz="6" w:space="0"/>
              <w:left w:val="single" w:color="auto" w:sz="6" w:space="0"/>
              <w:bottom w:val="single" w:color="auto" w:sz="6" w:space="0"/>
              <w:right w:val="single" w:color="auto" w:sz="6" w:space="0"/>
            </w:tcBorders>
            <w:vAlign w:val="center"/>
          </w:tcPr>
          <w:p w14:paraId="36CED2CC">
            <w:pPr>
              <w:snapToGrid w:val="0"/>
              <w:spacing w:line="360" w:lineRule="exact"/>
              <w:ind w:firstLine="560"/>
              <w:jc w:val="left"/>
              <w:textAlignment w:val="baseline"/>
              <w:rPr>
                <w:rFonts w:ascii="宋体" w:hAnsi="宋体" w:cs="宋体"/>
                <w:color w:val="auto"/>
                <w:sz w:val="20"/>
                <w:szCs w:val="21"/>
                <w:highlight w:val="none"/>
              </w:rPr>
            </w:pPr>
          </w:p>
        </w:tc>
      </w:tr>
      <w:tr w14:paraId="69B777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12" w:hRule="atLeast"/>
          <w:jc w:val="center"/>
        </w:trPr>
        <w:tc>
          <w:tcPr>
            <w:tcW w:w="2494" w:type="dxa"/>
            <w:tcBorders>
              <w:top w:val="single" w:color="auto" w:sz="6" w:space="0"/>
              <w:left w:val="single" w:color="auto" w:sz="6" w:space="0"/>
              <w:bottom w:val="single" w:color="auto" w:sz="6" w:space="0"/>
              <w:right w:val="single" w:color="auto" w:sz="6" w:space="0"/>
            </w:tcBorders>
            <w:vAlign w:val="center"/>
          </w:tcPr>
          <w:p w14:paraId="2070FB3D">
            <w:pPr>
              <w:snapToGrid w:val="0"/>
              <w:spacing w:line="360" w:lineRule="exact"/>
              <w:ind w:firstLine="560"/>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经营范围</w:t>
            </w:r>
          </w:p>
        </w:tc>
        <w:tc>
          <w:tcPr>
            <w:tcW w:w="6251" w:type="dxa"/>
            <w:gridSpan w:val="3"/>
            <w:tcBorders>
              <w:top w:val="single" w:color="auto" w:sz="6" w:space="0"/>
              <w:left w:val="single" w:color="auto" w:sz="6" w:space="0"/>
              <w:bottom w:val="single" w:color="auto" w:sz="6" w:space="0"/>
              <w:right w:val="single" w:color="auto" w:sz="6" w:space="0"/>
            </w:tcBorders>
            <w:vAlign w:val="center"/>
          </w:tcPr>
          <w:p w14:paraId="39BBB83C">
            <w:pPr>
              <w:snapToGrid w:val="0"/>
              <w:spacing w:line="360" w:lineRule="exact"/>
              <w:ind w:firstLine="560"/>
              <w:jc w:val="left"/>
              <w:textAlignment w:val="baseline"/>
              <w:rPr>
                <w:rFonts w:ascii="宋体" w:hAnsi="宋体" w:cs="宋体"/>
                <w:color w:val="auto"/>
                <w:sz w:val="20"/>
                <w:szCs w:val="21"/>
                <w:highlight w:val="none"/>
              </w:rPr>
            </w:pPr>
          </w:p>
        </w:tc>
      </w:tr>
      <w:tr w14:paraId="60DD2D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7" w:hRule="atLeast"/>
          <w:jc w:val="center"/>
        </w:trPr>
        <w:tc>
          <w:tcPr>
            <w:tcW w:w="2494" w:type="dxa"/>
            <w:tcBorders>
              <w:top w:val="single" w:color="auto" w:sz="6" w:space="0"/>
              <w:left w:val="single" w:color="auto" w:sz="6" w:space="0"/>
              <w:bottom w:val="single" w:color="auto" w:sz="6" w:space="0"/>
              <w:right w:val="single" w:color="auto" w:sz="6" w:space="0"/>
            </w:tcBorders>
            <w:vAlign w:val="center"/>
          </w:tcPr>
          <w:p w14:paraId="0DC0ADA6">
            <w:pPr>
              <w:snapToGrid w:val="0"/>
              <w:spacing w:line="360" w:lineRule="exact"/>
              <w:ind w:firstLine="560"/>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股东信息</w:t>
            </w:r>
          </w:p>
        </w:tc>
        <w:tc>
          <w:tcPr>
            <w:tcW w:w="6251" w:type="dxa"/>
            <w:gridSpan w:val="3"/>
            <w:tcBorders>
              <w:top w:val="single" w:color="auto" w:sz="6" w:space="0"/>
              <w:left w:val="single" w:color="auto" w:sz="6" w:space="0"/>
              <w:bottom w:val="single" w:color="auto" w:sz="6" w:space="0"/>
              <w:right w:val="single" w:color="auto" w:sz="6" w:space="0"/>
            </w:tcBorders>
            <w:vAlign w:val="center"/>
          </w:tcPr>
          <w:p w14:paraId="7F6A259A">
            <w:pPr>
              <w:snapToGrid w:val="0"/>
              <w:spacing w:line="360" w:lineRule="exact"/>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股东</w:t>
            </w:r>
            <w:r>
              <w:rPr>
                <w:rFonts w:ascii="宋体" w:hAnsi="宋体" w:cs="宋体"/>
                <w:color w:val="auto"/>
                <w:szCs w:val="21"/>
                <w:highlight w:val="none"/>
              </w:rPr>
              <w:t>1（姓名或单位名称）：</w:t>
            </w:r>
          </w:p>
          <w:p w14:paraId="5A64511A">
            <w:pPr>
              <w:snapToGrid w:val="0"/>
              <w:spacing w:line="360" w:lineRule="exact"/>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股东</w:t>
            </w:r>
            <w:r>
              <w:rPr>
                <w:rFonts w:ascii="宋体" w:hAnsi="宋体" w:cs="宋体"/>
                <w:color w:val="auto"/>
                <w:szCs w:val="21"/>
                <w:highlight w:val="none"/>
              </w:rPr>
              <w:t>1持股比例：</w:t>
            </w:r>
          </w:p>
          <w:p w14:paraId="476940DD">
            <w:pPr>
              <w:snapToGrid w:val="0"/>
              <w:spacing w:line="360" w:lineRule="exact"/>
              <w:jc w:val="left"/>
              <w:textAlignment w:val="baseline"/>
              <w:rPr>
                <w:rFonts w:ascii="宋体" w:hAnsi="宋体" w:cs="宋体"/>
                <w:color w:val="auto"/>
                <w:sz w:val="20"/>
                <w:szCs w:val="21"/>
                <w:highlight w:val="none"/>
              </w:rPr>
            </w:pPr>
          </w:p>
          <w:p w14:paraId="70134B3A">
            <w:pPr>
              <w:snapToGrid w:val="0"/>
              <w:spacing w:line="360" w:lineRule="exact"/>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股东</w:t>
            </w:r>
            <w:r>
              <w:rPr>
                <w:rFonts w:ascii="宋体" w:hAnsi="宋体" w:cs="宋体"/>
                <w:color w:val="auto"/>
                <w:szCs w:val="21"/>
                <w:highlight w:val="none"/>
              </w:rPr>
              <w:t>2（姓名或单位名称）：</w:t>
            </w:r>
          </w:p>
          <w:p w14:paraId="70E3A428">
            <w:pPr>
              <w:snapToGrid w:val="0"/>
              <w:spacing w:line="360" w:lineRule="exact"/>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股东</w:t>
            </w:r>
            <w:r>
              <w:rPr>
                <w:rFonts w:ascii="宋体" w:hAnsi="宋体" w:cs="宋体"/>
                <w:color w:val="auto"/>
                <w:szCs w:val="21"/>
                <w:highlight w:val="none"/>
              </w:rPr>
              <w:t>2持股比例：</w:t>
            </w:r>
          </w:p>
          <w:p w14:paraId="6334F616">
            <w:pPr>
              <w:snapToGrid w:val="0"/>
              <w:spacing w:line="360" w:lineRule="exact"/>
              <w:jc w:val="left"/>
              <w:textAlignment w:val="baseline"/>
              <w:rPr>
                <w:rFonts w:ascii="宋体" w:hAnsi="宋体" w:cs="宋体"/>
                <w:color w:val="auto"/>
                <w:sz w:val="20"/>
                <w:szCs w:val="21"/>
                <w:highlight w:val="none"/>
              </w:rPr>
            </w:pPr>
          </w:p>
          <w:p w14:paraId="32CD1E55">
            <w:pPr>
              <w:snapToGrid w:val="0"/>
              <w:spacing w:line="360" w:lineRule="exact"/>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（不够的可自行增加）</w:t>
            </w:r>
          </w:p>
        </w:tc>
      </w:tr>
      <w:tr w14:paraId="66A40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64" w:hRule="atLeast"/>
          <w:jc w:val="center"/>
        </w:trPr>
        <w:tc>
          <w:tcPr>
            <w:tcW w:w="2494" w:type="dxa"/>
            <w:tcBorders>
              <w:top w:val="single" w:color="auto" w:sz="6" w:space="0"/>
              <w:left w:val="single" w:color="auto" w:sz="6" w:space="0"/>
              <w:bottom w:val="single" w:color="auto" w:sz="6" w:space="0"/>
              <w:right w:val="single" w:color="auto" w:sz="6" w:space="0"/>
            </w:tcBorders>
            <w:vAlign w:val="center"/>
          </w:tcPr>
          <w:p w14:paraId="76CB4DFE">
            <w:pPr>
              <w:snapToGrid w:val="0"/>
              <w:spacing w:line="360" w:lineRule="exact"/>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公司是否有直接控股、管理关系的关联企业（在</w:t>
            </w:r>
            <w:r>
              <w:rPr>
                <w:color w:val="auto"/>
                <w:highlight w:val="none"/>
              </w:rPr>
              <w:sym w:font="Wingdings 2" w:char="F0A3"/>
            </w:r>
            <w:r>
              <w:rPr>
                <w:rFonts w:hint="eastAsia" w:ascii="宋体" w:hAnsi="宋体" w:cs="宋体"/>
                <w:color w:val="auto"/>
                <w:szCs w:val="21"/>
                <w:highlight w:val="none"/>
              </w:rPr>
              <w:t xml:space="preserve"> 中进行勾选）</w:t>
            </w:r>
          </w:p>
        </w:tc>
        <w:tc>
          <w:tcPr>
            <w:tcW w:w="6251" w:type="dxa"/>
            <w:gridSpan w:val="3"/>
            <w:tcBorders>
              <w:top w:val="single" w:color="auto" w:sz="6" w:space="0"/>
              <w:left w:val="single" w:color="auto" w:sz="6" w:space="0"/>
              <w:bottom w:val="single" w:color="auto" w:sz="6" w:space="0"/>
              <w:right w:val="single" w:color="auto" w:sz="6" w:space="0"/>
            </w:tcBorders>
            <w:vAlign w:val="center"/>
          </w:tcPr>
          <w:p w14:paraId="4C324B5B">
            <w:pPr>
              <w:snapToGrid w:val="0"/>
              <w:spacing w:line="360" w:lineRule="exact"/>
              <w:jc w:val="left"/>
              <w:textAlignment w:val="baseline"/>
              <w:rPr>
                <w:rFonts w:ascii="宋体" w:hAnsi="宋体" w:cs="宋体"/>
                <w:color w:val="auto"/>
                <w:sz w:val="20"/>
                <w:szCs w:val="21"/>
                <w:highlight w:val="none"/>
              </w:rPr>
            </w:pPr>
            <w:r>
              <w:rPr>
                <w:color w:val="auto"/>
                <w:highlight w:val="none"/>
              </w:rPr>
              <w:sym w:font="Wingdings 2" w:char="F0A3"/>
            </w:r>
            <w:r>
              <w:rPr>
                <w:rFonts w:hint="eastAsia" w:ascii="宋体" w:hAnsi="宋体" w:cs="宋体"/>
                <w:color w:val="auto"/>
                <w:szCs w:val="21"/>
                <w:highlight w:val="none"/>
              </w:rPr>
              <w:t xml:space="preserve"> 无直接控股、管理关系的关联企业</w:t>
            </w:r>
          </w:p>
          <w:p w14:paraId="463D2CE0">
            <w:pPr>
              <w:snapToGrid w:val="0"/>
              <w:spacing w:line="360" w:lineRule="exact"/>
              <w:jc w:val="left"/>
              <w:textAlignment w:val="baseline"/>
              <w:rPr>
                <w:rFonts w:ascii="宋体" w:hAnsi="宋体" w:cs="宋体"/>
                <w:color w:val="auto"/>
                <w:sz w:val="20"/>
                <w:szCs w:val="21"/>
                <w:highlight w:val="none"/>
              </w:rPr>
            </w:pPr>
            <w:r>
              <w:rPr>
                <w:color w:val="auto"/>
                <w:highlight w:val="none"/>
              </w:rPr>
              <w:sym w:font="Wingdings 2" w:char="F0A3"/>
            </w:r>
            <w:r>
              <w:rPr>
                <w:rFonts w:hint="eastAsia" w:ascii="宋体" w:hAnsi="宋体" w:cs="宋体"/>
                <w:color w:val="auto"/>
                <w:szCs w:val="21"/>
                <w:highlight w:val="none"/>
              </w:rPr>
              <w:t xml:space="preserve"> 有直接控股、管理关系的关联企业，关联信息如下：</w:t>
            </w:r>
          </w:p>
          <w:p w14:paraId="1201BA44">
            <w:pPr>
              <w:snapToGrid w:val="0"/>
              <w:spacing w:line="360" w:lineRule="exact"/>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企业</w:t>
            </w:r>
            <w:r>
              <w:rPr>
                <w:rFonts w:ascii="宋体" w:hAnsi="宋体" w:cs="宋体"/>
                <w:color w:val="auto"/>
                <w:szCs w:val="21"/>
                <w:highlight w:val="none"/>
              </w:rPr>
              <w:t>1名称：</w:t>
            </w:r>
          </w:p>
          <w:p w14:paraId="3C061DAC">
            <w:pPr>
              <w:snapToGrid w:val="0"/>
              <w:spacing w:line="360" w:lineRule="exact"/>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（直接控股</w:t>
            </w:r>
            <w:r>
              <w:rPr>
                <w:color w:val="auto"/>
                <w:highlight w:val="none"/>
              </w:rPr>
              <w:sym w:font="Wingdings 2" w:char="F0A3"/>
            </w:r>
            <w:r>
              <w:rPr>
                <w:rFonts w:hint="eastAsia" w:ascii="宋体" w:hAnsi="宋体" w:cs="宋体"/>
                <w:color w:val="auto"/>
                <w:szCs w:val="21"/>
                <w:highlight w:val="none"/>
              </w:rPr>
              <w:t xml:space="preserve"> （持股比例：</w:t>
            </w:r>
            <w:r>
              <w:rPr>
                <w:rFonts w:ascii="宋体" w:hAnsi="宋体" w:cs="宋体"/>
                <w:color w:val="auto"/>
                <w:szCs w:val="21"/>
                <w:highlight w:val="none"/>
              </w:rPr>
              <w:t xml:space="preserve">    % ；管理关系</w:t>
            </w:r>
            <w:r>
              <w:rPr>
                <w:color w:val="auto"/>
                <w:highlight w:val="none"/>
              </w:rPr>
              <w:sym w:font="Wingdings 2" w:char="F0A3"/>
            </w:r>
            <w:r>
              <w:rPr>
                <w:rFonts w:hint="eastAsia" w:ascii="宋体" w:hAnsi="宋体" w:cs="宋体"/>
                <w:color w:val="auto"/>
                <w:szCs w:val="21"/>
                <w:highlight w:val="none"/>
              </w:rPr>
              <w:t xml:space="preserve"> ）</w:t>
            </w:r>
          </w:p>
          <w:p w14:paraId="406E442D">
            <w:pPr>
              <w:snapToGrid w:val="0"/>
              <w:spacing w:line="360" w:lineRule="exact"/>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企业</w:t>
            </w:r>
            <w:r>
              <w:rPr>
                <w:rFonts w:ascii="宋体" w:hAnsi="宋体" w:cs="宋体"/>
                <w:color w:val="auto"/>
                <w:szCs w:val="21"/>
                <w:highlight w:val="none"/>
              </w:rPr>
              <w:t>2名称：</w:t>
            </w:r>
          </w:p>
          <w:p w14:paraId="774B860A">
            <w:pPr>
              <w:snapToGrid w:val="0"/>
              <w:spacing w:line="360" w:lineRule="exact"/>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（直接控股</w:t>
            </w:r>
            <w:r>
              <w:rPr>
                <w:color w:val="auto"/>
                <w:highlight w:val="none"/>
              </w:rPr>
              <w:sym w:font="Wingdings 2" w:char="F0A3"/>
            </w:r>
            <w:r>
              <w:rPr>
                <w:rFonts w:hint="eastAsia" w:ascii="宋体" w:hAnsi="宋体" w:cs="宋体"/>
                <w:color w:val="auto"/>
                <w:szCs w:val="21"/>
                <w:highlight w:val="none"/>
              </w:rPr>
              <w:t xml:space="preserve"> （持股比例：</w:t>
            </w:r>
            <w:r>
              <w:rPr>
                <w:rFonts w:ascii="宋体" w:hAnsi="宋体" w:cs="宋体"/>
                <w:color w:val="auto"/>
                <w:szCs w:val="21"/>
                <w:highlight w:val="none"/>
              </w:rPr>
              <w:t xml:space="preserve">    % ；管理关系</w:t>
            </w:r>
            <w:r>
              <w:rPr>
                <w:color w:val="auto"/>
                <w:highlight w:val="none"/>
              </w:rPr>
              <w:sym w:font="Wingdings 2" w:char="F0A3"/>
            </w:r>
            <w:r>
              <w:rPr>
                <w:rFonts w:hint="eastAsia" w:ascii="宋体" w:hAnsi="宋体" w:cs="宋体"/>
                <w:color w:val="auto"/>
                <w:szCs w:val="21"/>
                <w:highlight w:val="none"/>
              </w:rPr>
              <w:t xml:space="preserve"> ）</w:t>
            </w:r>
          </w:p>
          <w:p w14:paraId="7CDC52C0">
            <w:pPr>
              <w:snapToGrid w:val="0"/>
              <w:spacing w:line="360" w:lineRule="exact"/>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（不够的可自行增加）</w:t>
            </w:r>
          </w:p>
        </w:tc>
      </w:tr>
      <w:tr w14:paraId="76A7A1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001" w:hRule="atLeast"/>
          <w:jc w:val="center"/>
        </w:trPr>
        <w:tc>
          <w:tcPr>
            <w:tcW w:w="8745" w:type="dxa"/>
            <w:gridSpan w:val="4"/>
            <w:tcBorders>
              <w:top w:val="single" w:color="auto" w:sz="6" w:space="0"/>
              <w:left w:val="single" w:color="auto" w:sz="6" w:space="0"/>
              <w:bottom w:val="single" w:color="auto" w:sz="6" w:space="0"/>
              <w:right w:val="single" w:color="auto" w:sz="6" w:space="0"/>
            </w:tcBorders>
            <w:vAlign w:val="center"/>
          </w:tcPr>
          <w:p w14:paraId="16C271D2">
            <w:pPr>
              <w:snapToGrid w:val="0"/>
              <w:spacing w:line="360" w:lineRule="exact"/>
              <w:ind w:firstLine="561"/>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上述信息内容与本单位提供给注册登记部门、行业管理部门、司法部门、行业组织以及在政府采购活动中提交的所有资料均合法、真实、有效，无任何伪造、修改、虚假成份，对所提供信息的真实性、完整性、准确性负责。</w:t>
            </w:r>
          </w:p>
          <w:p w14:paraId="18325435">
            <w:pPr>
              <w:snapToGrid w:val="0"/>
              <w:spacing w:line="360" w:lineRule="exact"/>
              <w:ind w:firstLine="561"/>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供应商（盖章）：</w:t>
            </w:r>
          </w:p>
          <w:p w14:paraId="730314C2">
            <w:pPr>
              <w:snapToGrid w:val="0"/>
              <w:spacing w:line="360" w:lineRule="exact"/>
              <w:ind w:firstLine="561"/>
              <w:jc w:val="left"/>
              <w:textAlignment w:val="baseline"/>
              <w:rPr>
                <w:rFonts w:ascii="宋体" w:hAnsi="宋体" w:cs="宋体"/>
                <w:color w:val="auto"/>
                <w:sz w:val="20"/>
                <w:szCs w:val="21"/>
                <w:highlight w:val="none"/>
              </w:rPr>
            </w:pPr>
            <w:r>
              <w:rPr>
                <w:rFonts w:hint="eastAsia" w:ascii="宋体" w:hAnsi="宋体" w:cs="宋体"/>
                <w:color w:val="auto"/>
                <w:szCs w:val="21"/>
                <w:highlight w:val="none"/>
              </w:rPr>
              <w:t>法定代表人（签字或盖章）：</w:t>
            </w:r>
          </w:p>
          <w:p w14:paraId="79BA47D4">
            <w:pPr>
              <w:snapToGrid w:val="0"/>
              <w:spacing w:line="360" w:lineRule="exact"/>
              <w:ind w:firstLine="560"/>
              <w:jc w:val="left"/>
              <w:textAlignment w:val="baseline"/>
              <w:rPr>
                <w:rFonts w:ascii="宋体" w:hAnsi="宋体" w:cs="宋体"/>
                <w:color w:val="auto"/>
                <w:sz w:val="20"/>
                <w:szCs w:val="21"/>
                <w:highlight w:val="none"/>
              </w:rPr>
            </w:pPr>
            <w:r>
              <w:rPr>
                <w:rFonts w:ascii="宋体" w:hAnsi="宋体" w:cs="宋体"/>
                <w:color w:val="auto"/>
                <w:szCs w:val="21"/>
                <w:highlight w:val="none"/>
              </w:rPr>
              <w:t xml:space="preserve">                                              日期：   年  月  日</w:t>
            </w:r>
          </w:p>
        </w:tc>
      </w:tr>
    </w:tbl>
    <w:p w14:paraId="6CAC7AF8">
      <w:pPr>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5BF739F5">
      <w:pPr>
        <w:outlineLvl w:val="0"/>
        <w:rPr>
          <w:rFonts w:ascii="宋体" w:hAnsi="宋体" w:cs="宋体"/>
          <w:b/>
          <w:color w:val="auto"/>
          <w:sz w:val="28"/>
          <w:szCs w:val="28"/>
          <w:highlight w:val="none"/>
        </w:rPr>
      </w:pPr>
      <w:r>
        <w:rPr>
          <w:rFonts w:hint="eastAsia" w:ascii="宋体" w:hAnsi="宋体" w:cs="宋体"/>
          <w:b/>
          <w:color w:val="auto"/>
          <w:sz w:val="28"/>
          <w:szCs w:val="28"/>
          <w:highlight w:val="none"/>
        </w:rPr>
        <w:t>6.报价一览表</w:t>
      </w:r>
    </w:p>
    <w:p w14:paraId="3677459E">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14:paraId="18B6A188">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25"/>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14:paraId="67EB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315F9DCC">
            <w:pPr>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6662" w:type="dxa"/>
            <w:vAlign w:val="center"/>
          </w:tcPr>
          <w:p w14:paraId="3C356836">
            <w:pPr>
              <w:widowControl/>
              <w:jc w:val="center"/>
              <w:rPr>
                <w:rFonts w:ascii="宋体" w:hAnsi="宋体" w:cs="宋体"/>
                <w:color w:val="auto"/>
                <w:szCs w:val="21"/>
                <w:highlight w:val="none"/>
              </w:rPr>
            </w:pPr>
          </w:p>
        </w:tc>
      </w:tr>
      <w:tr w14:paraId="4317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58AF7541">
            <w:pPr>
              <w:jc w:val="center"/>
              <w:rPr>
                <w:rFonts w:ascii="宋体" w:hAnsi="宋体" w:cs="宋体"/>
                <w:color w:val="auto"/>
                <w:szCs w:val="21"/>
                <w:highlight w:val="none"/>
              </w:rPr>
            </w:pPr>
            <w:r>
              <w:rPr>
                <w:rFonts w:hint="eastAsia" w:ascii="宋体" w:hAnsi="宋体" w:cs="宋体"/>
                <w:color w:val="auto"/>
                <w:szCs w:val="21"/>
                <w:highlight w:val="none"/>
              </w:rPr>
              <w:t>项目编号</w:t>
            </w:r>
          </w:p>
        </w:tc>
        <w:tc>
          <w:tcPr>
            <w:tcW w:w="6662" w:type="dxa"/>
            <w:vAlign w:val="center"/>
          </w:tcPr>
          <w:p w14:paraId="5E3219E0">
            <w:pPr>
              <w:widowControl/>
              <w:jc w:val="center"/>
              <w:rPr>
                <w:rFonts w:ascii="宋体" w:hAnsi="宋体" w:cs="宋体"/>
                <w:color w:val="auto"/>
                <w:szCs w:val="21"/>
                <w:highlight w:val="none"/>
              </w:rPr>
            </w:pPr>
          </w:p>
        </w:tc>
      </w:tr>
      <w:tr w14:paraId="5580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78FD3FDF">
            <w:pPr>
              <w:jc w:val="center"/>
              <w:rPr>
                <w:rFonts w:ascii="宋体" w:hAnsi="宋体" w:cs="宋体"/>
                <w:color w:val="auto"/>
                <w:szCs w:val="21"/>
                <w:highlight w:val="none"/>
              </w:rPr>
            </w:pPr>
            <w:r>
              <w:rPr>
                <w:rFonts w:hint="eastAsia" w:ascii="宋体" w:hAnsi="宋体" w:cs="宋体"/>
                <w:color w:val="auto"/>
                <w:szCs w:val="21"/>
                <w:highlight w:val="none"/>
              </w:rPr>
              <w:t>磋商总价</w:t>
            </w:r>
          </w:p>
        </w:tc>
        <w:tc>
          <w:tcPr>
            <w:tcW w:w="6662" w:type="dxa"/>
            <w:vAlign w:val="center"/>
          </w:tcPr>
          <w:p w14:paraId="268849B8">
            <w:pPr>
              <w:widowControl/>
              <w:jc w:val="center"/>
              <w:rPr>
                <w:rFonts w:ascii="宋体" w:hAnsi="宋体" w:cs="宋体"/>
                <w:color w:val="auto"/>
                <w:szCs w:val="21"/>
                <w:highlight w:val="none"/>
              </w:rPr>
            </w:pPr>
          </w:p>
        </w:tc>
      </w:tr>
      <w:tr w14:paraId="6D0E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4E239F7D">
            <w:pPr>
              <w:jc w:val="center"/>
              <w:rPr>
                <w:rFonts w:ascii="宋体" w:hAnsi="宋体" w:cs="宋体"/>
                <w:color w:val="auto"/>
                <w:szCs w:val="21"/>
                <w:highlight w:val="none"/>
              </w:rPr>
            </w:pPr>
            <w:r>
              <w:rPr>
                <w:rFonts w:hint="eastAsia" w:ascii="宋体" w:hAnsi="宋体" w:cs="宋体"/>
                <w:color w:val="auto"/>
                <w:szCs w:val="21"/>
                <w:highlight w:val="none"/>
              </w:rPr>
              <w:t>合同履行期限</w:t>
            </w:r>
          </w:p>
        </w:tc>
        <w:tc>
          <w:tcPr>
            <w:tcW w:w="6662" w:type="dxa"/>
            <w:vAlign w:val="center"/>
          </w:tcPr>
          <w:p w14:paraId="47AA5866">
            <w:pPr>
              <w:widowControl/>
              <w:jc w:val="center"/>
              <w:rPr>
                <w:rFonts w:ascii="宋体" w:hAnsi="宋体" w:cs="宋体"/>
                <w:color w:val="auto"/>
                <w:szCs w:val="21"/>
                <w:highlight w:val="none"/>
              </w:rPr>
            </w:pPr>
          </w:p>
        </w:tc>
      </w:tr>
    </w:tbl>
    <w:p w14:paraId="5207EAE8">
      <w:pPr>
        <w:spacing w:line="360" w:lineRule="exact"/>
        <w:rPr>
          <w:rFonts w:ascii="宋体" w:hAnsi="宋体" w:cs="宋体"/>
          <w:color w:val="auto"/>
          <w:szCs w:val="21"/>
          <w:highlight w:val="none"/>
        </w:rPr>
      </w:pPr>
      <w:r>
        <w:rPr>
          <w:rFonts w:hint="eastAsia" w:ascii="宋体" w:hAnsi="宋体" w:cs="宋体"/>
          <w:color w:val="auto"/>
          <w:szCs w:val="21"/>
          <w:highlight w:val="none"/>
        </w:rPr>
        <w:t>供应商名称（公章）：</w:t>
      </w:r>
    </w:p>
    <w:p w14:paraId="14CB9555">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612CA98E">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097197F6">
      <w:pPr>
        <w:rPr>
          <w:rFonts w:ascii="宋体" w:hAnsi="宋体" w:cs="宋体"/>
          <w:color w:val="auto"/>
          <w:sz w:val="24"/>
          <w:highlight w:val="none"/>
        </w:rPr>
      </w:pPr>
    </w:p>
    <w:p w14:paraId="65DF7701">
      <w:pPr>
        <w:spacing w:line="280" w:lineRule="exact"/>
        <w:ind w:right="420"/>
        <w:rPr>
          <w:rFonts w:ascii="宋体" w:hAnsi="宋体" w:cs="宋体"/>
          <w:color w:val="auto"/>
          <w:szCs w:val="21"/>
          <w:highlight w:val="none"/>
        </w:rPr>
      </w:pPr>
    </w:p>
    <w:p w14:paraId="48E55BDF">
      <w:pPr>
        <w:outlineLvl w:val="0"/>
        <w:rPr>
          <w:rFonts w:ascii="宋体" w:hAnsi="宋体" w:cs="宋体"/>
          <w:b/>
          <w:color w:val="auto"/>
          <w:sz w:val="28"/>
          <w:szCs w:val="28"/>
          <w:highlight w:val="none"/>
        </w:rPr>
      </w:pPr>
      <w:r>
        <w:rPr>
          <w:rFonts w:hint="eastAsia" w:ascii="宋体" w:hAnsi="宋体" w:cs="宋体"/>
          <w:b/>
          <w:color w:val="auto"/>
          <w:sz w:val="28"/>
          <w:szCs w:val="28"/>
          <w:highlight w:val="none"/>
        </w:rPr>
        <w:t>7. 磋商分项报价表</w:t>
      </w:r>
    </w:p>
    <w:p w14:paraId="2202532E">
      <w:pPr>
        <w:spacing w:line="360" w:lineRule="auto"/>
        <w:jc w:val="center"/>
        <w:rPr>
          <w:rFonts w:ascii="宋体" w:hAnsi="宋体" w:cs="宋体"/>
          <w:b/>
          <w:color w:val="auto"/>
          <w:sz w:val="28"/>
          <w:szCs w:val="28"/>
          <w:highlight w:val="none"/>
        </w:rPr>
      </w:pPr>
      <w:r>
        <w:rPr>
          <w:rFonts w:hint="eastAsia" w:ascii="宋体" w:hAnsi="宋体" w:cs="宋体"/>
          <w:b/>
          <w:color w:val="auto"/>
          <w:sz w:val="28"/>
          <w:szCs w:val="28"/>
          <w:highlight w:val="none"/>
        </w:rPr>
        <w:t>磋商分项报价表</w:t>
      </w:r>
    </w:p>
    <w:p w14:paraId="4E3DC508">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w:t>
      </w:r>
    </w:p>
    <w:p w14:paraId="24AC660B">
      <w:pPr>
        <w:widowControl/>
        <w:snapToGrid w:val="0"/>
        <w:spacing w:line="360" w:lineRule="auto"/>
        <w:rPr>
          <w:rFonts w:hint="eastAsia" w:ascii="宋体" w:hAnsi="宋体" w:cs="宋体"/>
          <w:color w:val="auto"/>
          <w:kern w:val="0"/>
          <w:szCs w:val="21"/>
          <w:highlight w:val="none"/>
        </w:rPr>
      </w:pPr>
    </w:p>
    <w:p w14:paraId="023FF8EE">
      <w:pPr>
        <w:widowControl/>
        <w:snapToGrid w:val="0"/>
        <w:spacing w:line="360" w:lineRule="auto"/>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格式自拟</w:t>
      </w:r>
    </w:p>
    <w:p w14:paraId="3D7D462C">
      <w:pPr>
        <w:widowControl/>
        <w:snapToGrid w:val="0"/>
        <w:spacing w:line="360" w:lineRule="auto"/>
        <w:rPr>
          <w:rFonts w:hint="eastAsia" w:ascii="宋体" w:hAnsi="宋体" w:cs="宋体"/>
          <w:color w:val="auto"/>
          <w:kern w:val="0"/>
          <w:szCs w:val="21"/>
          <w:highlight w:val="none"/>
        </w:rPr>
      </w:pPr>
    </w:p>
    <w:p w14:paraId="36467E4D">
      <w:pPr>
        <w:widowControl/>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供应商名称（公章）：</w:t>
      </w:r>
    </w:p>
    <w:p w14:paraId="49681222">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02C13BBE">
      <w:pPr>
        <w:widowControl/>
        <w:jc w:val="left"/>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4A1D8C97">
      <w:pPr>
        <w:outlineLvl w:val="0"/>
        <w:rPr>
          <w:rFonts w:ascii="宋体" w:hAnsi="宋体" w:cs="宋体"/>
          <w:b/>
          <w:color w:val="auto"/>
          <w:sz w:val="28"/>
          <w:szCs w:val="28"/>
          <w:highlight w:val="none"/>
        </w:rPr>
      </w:pPr>
      <w:r>
        <w:rPr>
          <w:rFonts w:hint="eastAsia" w:ascii="宋体" w:hAnsi="宋体" w:cs="宋体"/>
          <w:b/>
          <w:color w:val="auto"/>
          <w:sz w:val="28"/>
          <w:szCs w:val="28"/>
          <w:highlight w:val="none"/>
        </w:rPr>
        <w:t>8.偏离表</w:t>
      </w:r>
    </w:p>
    <w:p w14:paraId="6AA748E8">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14:paraId="2EA4EB23">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供应商应对竞争性磋商文件中规定的商务及技术部分给予充分的考虑。为了评审的需要，供应商应将这些条款的异议逐条提出或根据以下要求的格式提出偏离。</w:t>
      </w:r>
    </w:p>
    <w:p w14:paraId="07DD650D">
      <w:pPr>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如无偏离，请在本表格中写“无”，并附在磋商响应文件中 。          </w:t>
      </w:r>
    </w:p>
    <w:p w14:paraId="537A5433">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2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6557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16FD1660">
            <w:pP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14:paraId="06501F4B">
            <w:pP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14:paraId="4ACD3F7C">
            <w:pP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14:paraId="3F095D93">
            <w:pPr>
              <w:rPr>
                <w:rFonts w:ascii="宋体" w:hAnsi="宋体" w:cs="宋体"/>
                <w:color w:val="auto"/>
                <w:szCs w:val="21"/>
                <w:highlight w:val="none"/>
              </w:rPr>
            </w:pPr>
            <w:r>
              <w:rPr>
                <w:rFonts w:hint="eastAsia" w:ascii="宋体" w:hAnsi="宋体" w:cs="宋体"/>
                <w:color w:val="auto"/>
                <w:szCs w:val="21"/>
                <w:highlight w:val="none"/>
              </w:rPr>
              <w:t>备注</w:t>
            </w:r>
          </w:p>
        </w:tc>
      </w:tr>
      <w:tr w14:paraId="55DB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6FDFF60C">
            <w:pPr>
              <w:rPr>
                <w:rFonts w:ascii="宋体" w:hAnsi="宋体" w:cs="宋体"/>
                <w:color w:val="auto"/>
                <w:szCs w:val="21"/>
                <w:highlight w:val="none"/>
              </w:rPr>
            </w:pPr>
          </w:p>
        </w:tc>
        <w:tc>
          <w:tcPr>
            <w:tcW w:w="2132" w:type="dxa"/>
          </w:tcPr>
          <w:p w14:paraId="7DEF0CA9">
            <w:pPr>
              <w:rPr>
                <w:rFonts w:ascii="宋体" w:hAnsi="宋体" w:cs="宋体"/>
                <w:color w:val="auto"/>
                <w:szCs w:val="21"/>
                <w:highlight w:val="none"/>
              </w:rPr>
            </w:pPr>
          </w:p>
        </w:tc>
        <w:tc>
          <w:tcPr>
            <w:tcW w:w="3044" w:type="dxa"/>
          </w:tcPr>
          <w:p w14:paraId="56C5BB96">
            <w:pPr>
              <w:rPr>
                <w:rFonts w:ascii="宋体" w:hAnsi="宋体" w:cs="宋体"/>
                <w:color w:val="auto"/>
                <w:szCs w:val="21"/>
                <w:highlight w:val="none"/>
              </w:rPr>
            </w:pPr>
          </w:p>
        </w:tc>
        <w:tc>
          <w:tcPr>
            <w:tcW w:w="1440" w:type="dxa"/>
          </w:tcPr>
          <w:p w14:paraId="7ABA3DA2">
            <w:pPr>
              <w:rPr>
                <w:rFonts w:ascii="宋体" w:hAnsi="宋体" w:cs="宋体"/>
                <w:color w:val="auto"/>
                <w:szCs w:val="21"/>
                <w:highlight w:val="none"/>
              </w:rPr>
            </w:pPr>
          </w:p>
        </w:tc>
      </w:tr>
      <w:tr w14:paraId="38FA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5E4CBC12">
            <w:pPr>
              <w:rPr>
                <w:rFonts w:ascii="宋体" w:hAnsi="宋体" w:cs="宋体"/>
                <w:color w:val="auto"/>
                <w:szCs w:val="21"/>
                <w:highlight w:val="none"/>
              </w:rPr>
            </w:pPr>
          </w:p>
        </w:tc>
        <w:tc>
          <w:tcPr>
            <w:tcW w:w="2132" w:type="dxa"/>
          </w:tcPr>
          <w:p w14:paraId="40D7E497">
            <w:pPr>
              <w:rPr>
                <w:rFonts w:ascii="宋体" w:hAnsi="宋体" w:cs="宋体"/>
                <w:color w:val="auto"/>
                <w:szCs w:val="21"/>
                <w:highlight w:val="none"/>
              </w:rPr>
            </w:pPr>
          </w:p>
        </w:tc>
        <w:tc>
          <w:tcPr>
            <w:tcW w:w="3044" w:type="dxa"/>
          </w:tcPr>
          <w:p w14:paraId="35695DD5">
            <w:pPr>
              <w:rPr>
                <w:rFonts w:ascii="宋体" w:hAnsi="宋体" w:cs="宋体"/>
                <w:color w:val="auto"/>
                <w:szCs w:val="21"/>
                <w:highlight w:val="none"/>
              </w:rPr>
            </w:pPr>
          </w:p>
        </w:tc>
        <w:tc>
          <w:tcPr>
            <w:tcW w:w="1440" w:type="dxa"/>
          </w:tcPr>
          <w:p w14:paraId="26417A37">
            <w:pPr>
              <w:rPr>
                <w:rFonts w:ascii="宋体" w:hAnsi="宋体" w:cs="宋体"/>
                <w:color w:val="auto"/>
                <w:szCs w:val="21"/>
                <w:highlight w:val="none"/>
              </w:rPr>
            </w:pPr>
          </w:p>
        </w:tc>
      </w:tr>
      <w:tr w14:paraId="3E81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5A41E08">
            <w:pPr>
              <w:rPr>
                <w:rFonts w:ascii="宋体" w:hAnsi="宋体" w:cs="宋体"/>
                <w:color w:val="auto"/>
                <w:szCs w:val="21"/>
                <w:highlight w:val="none"/>
              </w:rPr>
            </w:pPr>
          </w:p>
        </w:tc>
        <w:tc>
          <w:tcPr>
            <w:tcW w:w="2132" w:type="dxa"/>
          </w:tcPr>
          <w:p w14:paraId="34211C8E">
            <w:pPr>
              <w:rPr>
                <w:rFonts w:ascii="宋体" w:hAnsi="宋体" w:cs="宋体"/>
                <w:color w:val="auto"/>
                <w:szCs w:val="21"/>
                <w:highlight w:val="none"/>
              </w:rPr>
            </w:pPr>
          </w:p>
        </w:tc>
        <w:tc>
          <w:tcPr>
            <w:tcW w:w="3044" w:type="dxa"/>
          </w:tcPr>
          <w:p w14:paraId="755152F7">
            <w:pPr>
              <w:rPr>
                <w:rFonts w:ascii="宋体" w:hAnsi="宋体" w:cs="宋体"/>
                <w:color w:val="auto"/>
                <w:szCs w:val="21"/>
                <w:highlight w:val="none"/>
              </w:rPr>
            </w:pPr>
          </w:p>
        </w:tc>
        <w:tc>
          <w:tcPr>
            <w:tcW w:w="1440" w:type="dxa"/>
          </w:tcPr>
          <w:p w14:paraId="4BE8D6B3">
            <w:pPr>
              <w:rPr>
                <w:rFonts w:ascii="宋体" w:hAnsi="宋体" w:cs="宋体"/>
                <w:color w:val="auto"/>
                <w:szCs w:val="21"/>
                <w:highlight w:val="none"/>
              </w:rPr>
            </w:pPr>
          </w:p>
        </w:tc>
      </w:tr>
    </w:tbl>
    <w:p w14:paraId="062715BD">
      <w:pPr>
        <w:spacing w:line="360" w:lineRule="exact"/>
        <w:rPr>
          <w:rFonts w:ascii="宋体" w:hAnsi="宋体" w:cs="宋体"/>
          <w:color w:val="auto"/>
          <w:szCs w:val="21"/>
          <w:highlight w:val="none"/>
        </w:rPr>
      </w:pPr>
      <w:r>
        <w:rPr>
          <w:rFonts w:hint="eastAsia" w:ascii="宋体" w:hAnsi="宋体" w:cs="宋体"/>
          <w:color w:val="auto"/>
          <w:szCs w:val="21"/>
          <w:highlight w:val="none"/>
        </w:rPr>
        <w:t>供应商名称（公章）：</w:t>
      </w:r>
    </w:p>
    <w:p w14:paraId="2479A0FE">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692205FD">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594CB352">
      <w:pPr>
        <w:pStyle w:val="6"/>
        <w:overflowPunct w:val="0"/>
        <w:spacing w:line="500" w:lineRule="exact"/>
        <w:ind w:firstLine="0"/>
        <w:rPr>
          <w:rFonts w:hAnsi="宋体" w:cs="宋体"/>
          <w:b/>
          <w:color w:val="auto"/>
          <w:sz w:val="28"/>
          <w:szCs w:val="28"/>
          <w:highlight w:val="none"/>
        </w:rPr>
      </w:pPr>
    </w:p>
    <w:p w14:paraId="2D8156B4">
      <w:pPr>
        <w:rPr>
          <w:rFonts w:hAnsi="宋体" w:cs="宋体"/>
          <w:b/>
          <w:bCs/>
          <w:color w:val="auto"/>
          <w:sz w:val="28"/>
          <w:szCs w:val="28"/>
          <w:highlight w:val="none"/>
        </w:rPr>
      </w:pPr>
    </w:p>
    <w:p w14:paraId="525A515F">
      <w:pPr>
        <w:rPr>
          <w:rFonts w:ascii="宋体" w:hAnsi="宋体" w:cs="宋体"/>
          <w:color w:val="auto"/>
          <w:sz w:val="24"/>
          <w:szCs w:val="24"/>
          <w:highlight w:val="none"/>
        </w:rPr>
      </w:pPr>
    </w:p>
    <w:p w14:paraId="69C7CD68">
      <w:pPr>
        <w:pStyle w:val="3"/>
        <w:jc w:val="left"/>
        <w:rPr>
          <w:rFonts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rPr>
        <w:t>9.服务承诺书</w:t>
      </w:r>
    </w:p>
    <w:p w14:paraId="71671DB7">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服务承诺书</w:t>
      </w:r>
    </w:p>
    <w:p w14:paraId="23A58D24">
      <w:pPr>
        <w:spacing w:line="360" w:lineRule="auto"/>
        <w:rPr>
          <w:rFonts w:ascii="宋体" w:hAnsi="宋体" w:cs="宋体"/>
          <w:color w:val="auto"/>
          <w:sz w:val="24"/>
          <w:szCs w:val="24"/>
          <w:highlight w:val="none"/>
        </w:rPr>
      </w:pPr>
    </w:p>
    <w:p w14:paraId="3AC97601">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14:paraId="0B4CC74B">
      <w:pPr>
        <w:spacing w:line="360" w:lineRule="auto"/>
        <w:rPr>
          <w:rFonts w:ascii="宋体" w:hAnsi="宋体" w:cs="宋体"/>
          <w:color w:val="auto"/>
          <w:sz w:val="24"/>
          <w:szCs w:val="24"/>
          <w:highlight w:val="none"/>
        </w:rPr>
      </w:pPr>
    </w:p>
    <w:p w14:paraId="2568C420">
      <w:pPr>
        <w:spacing w:line="360" w:lineRule="auto"/>
        <w:rPr>
          <w:rFonts w:ascii="宋体" w:hAnsi="宋体" w:cs="宋体"/>
          <w:color w:val="auto"/>
          <w:sz w:val="24"/>
          <w:szCs w:val="24"/>
          <w:highlight w:val="none"/>
        </w:rPr>
      </w:pPr>
    </w:p>
    <w:p w14:paraId="3D944A67">
      <w:pPr>
        <w:spacing w:line="360" w:lineRule="auto"/>
        <w:rPr>
          <w:rFonts w:ascii="宋体" w:hAnsi="宋体" w:cs="宋体"/>
          <w:color w:val="auto"/>
          <w:sz w:val="24"/>
          <w:szCs w:val="24"/>
          <w:highlight w:val="none"/>
        </w:rPr>
      </w:pPr>
    </w:p>
    <w:p w14:paraId="6305A2F6">
      <w:pPr>
        <w:spacing w:line="360" w:lineRule="exact"/>
        <w:rPr>
          <w:rFonts w:ascii="宋体" w:hAnsi="宋体" w:cs="宋体"/>
          <w:color w:val="auto"/>
          <w:szCs w:val="21"/>
          <w:highlight w:val="none"/>
        </w:rPr>
      </w:pPr>
      <w:r>
        <w:rPr>
          <w:rFonts w:hint="eastAsia" w:ascii="宋体" w:hAnsi="宋体" w:cs="宋体"/>
          <w:color w:val="auto"/>
          <w:szCs w:val="21"/>
          <w:highlight w:val="none"/>
        </w:rPr>
        <w:t>供应商名称（公章）：</w:t>
      </w:r>
    </w:p>
    <w:p w14:paraId="3A37AD06">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32C1977C">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2A70AE18">
      <w:pPr>
        <w:rPr>
          <w:rFonts w:ascii="宋体" w:hAnsi="宋体" w:cs="宋体"/>
          <w:color w:val="auto"/>
          <w:sz w:val="24"/>
          <w:szCs w:val="24"/>
          <w:highlight w:val="none"/>
        </w:rPr>
      </w:pPr>
    </w:p>
    <w:p w14:paraId="411F4C05">
      <w:pPr>
        <w:rPr>
          <w:rFonts w:ascii="宋体" w:hAnsi="宋体" w:cs="宋体"/>
          <w:color w:val="auto"/>
          <w:sz w:val="24"/>
          <w:szCs w:val="24"/>
          <w:highlight w:val="none"/>
        </w:rPr>
      </w:pPr>
    </w:p>
    <w:p w14:paraId="393F2397">
      <w:pPr>
        <w:rPr>
          <w:rFonts w:ascii="宋体" w:hAnsi="宋体" w:cs="宋体"/>
          <w:b/>
          <w:color w:val="auto"/>
          <w:sz w:val="28"/>
          <w:szCs w:val="28"/>
          <w:highlight w:val="none"/>
        </w:rPr>
      </w:pPr>
    </w:p>
    <w:p w14:paraId="42B9509A">
      <w:pPr>
        <w:widowControl/>
        <w:spacing w:line="360" w:lineRule="atLeast"/>
        <w:jc w:val="center"/>
        <w:rPr>
          <w:rFonts w:ascii="宋体" w:hAnsi="宋体" w:cs="宋体"/>
          <w:bCs/>
          <w:color w:val="auto"/>
          <w:sz w:val="24"/>
          <w:highlight w:val="none"/>
        </w:rPr>
      </w:pPr>
      <w:r>
        <w:rPr>
          <w:rFonts w:hint="eastAsia" w:ascii="宋体" w:hAnsi="宋体" w:cs="宋体"/>
          <w:bCs/>
          <w:color w:val="auto"/>
          <w:sz w:val="24"/>
          <w:highlight w:val="none"/>
        </w:rPr>
        <w:t>本竞争性磋商文件的最终解释权归常州市城投建设工程招标有限公司所有。</w:t>
      </w:r>
    </w:p>
    <w:p w14:paraId="5A560893">
      <w:pPr>
        <w:jc w:val="center"/>
        <w:rPr>
          <w:rFonts w:ascii="宋体" w:hAnsi="宋体" w:cs="宋体"/>
          <w:color w:val="auto"/>
          <w:highlight w:val="none"/>
        </w:rPr>
      </w:pPr>
      <w:r>
        <w:rPr>
          <w:rFonts w:hint="eastAsia" w:ascii="宋体" w:hAnsi="宋体" w:cs="宋体"/>
          <w:b/>
          <w:color w:val="auto"/>
          <w:sz w:val="32"/>
          <w:highlight w:val="none"/>
        </w:rPr>
        <w:t>（全文完）</w:t>
      </w:r>
    </w:p>
    <w:sectPr>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C6F84">
    <w:pPr>
      <w:pStyle w:val="1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20</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66</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6914B">
    <w:pPr>
      <w:pStyle w:val="17"/>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66</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66</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CAD8E">
    <w:pPr>
      <w:pStyle w:val="17"/>
      <w:framePr w:wrap="around" w:vAnchor="text" w:hAnchor="margin" w:xAlign="outside" w:y="1"/>
      <w:rPr>
        <w:rStyle w:val="57"/>
      </w:rPr>
    </w:pPr>
    <w:r>
      <w:fldChar w:fldCharType="begin"/>
    </w:r>
    <w:r>
      <w:rPr>
        <w:rStyle w:val="57"/>
      </w:rPr>
      <w:instrText xml:space="preserve">PAGE  </w:instrText>
    </w:r>
    <w:r>
      <w:fldChar w:fldCharType="end"/>
    </w:r>
  </w:p>
  <w:p w14:paraId="41226A59">
    <w:pPr>
      <w:pStyle w:val="1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8BC8E">
    <w:pPr>
      <w:pStyle w:val="18"/>
      <w:tabs>
        <w:tab w:val="right" w:pos="8306"/>
        <w:tab w:val="clear" w:pos="8307"/>
      </w:tabs>
      <w:jc w:val="right"/>
    </w:pPr>
    <w:r>
      <w:pict>
        <v:shape id="WordPictureWatermark6388133" o:spid="_x0000_s4098"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r>
      <w:t>常州市城投建设工程招标有限公司</w:t>
    </w:r>
    <w:r>
      <w:rPr>
        <w:rFonts w:hint="eastAsia"/>
      </w:rPr>
      <w:t>竞争性磋商</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2FA04">
    <w:pPr>
      <w:pStyle w:val="18"/>
    </w:pPr>
    <w:r>
      <w:pict>
        <v:shape id="WordPictureWatermark6388132" o:spid="_x0000_s4099" o:spt="75" type="#_x0000_t75" style="position:absolute;left:0pt;height:425.3pt;width:425.3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3A32B">
    <w:pPr>
      <w:pStyle w:val="18"/>
    </w:pPr>
    <w:r>
      <w:pict>
        <v:shape id="WordPictureWatermark6388131" o:spid="_x0000_s4097" o:spt="75" type="#_x0000_t75" style="position:absolute;left:0pt;height:425.3pt;width:425.3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D6CD5">
    <w:pPr>
      <w:pStyle w:val="18"/>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9"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21F6E">
    <w:pPr>
      <w:pStyle w:val="18"/>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8"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6804FB"/>
    <w:multiLevelType w:val="singleLevel"/>
    <w:tmpl w:val="886804FB"/>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E937CE"/>
    <w:rsid w:val="0000020E"/>
    <w:rsid w:val="0000087D"/>
    <w:rsid w:val="000126AA"/>
    <w:rsid w:val="0001465B"/>
    <w:rsid w:val="00014697"/>
    <w:rsid w:val="00015726"/>
    <w:rsid w:val="00021A28"/>
    <w:rsid w:val="000223FC"/>
    <w:rsid w:val="00025AD8"/>
    <w:rsid w:val="00027113"/>
    <w:rsid w:val="00030EE4"/>
    <w:rsid w:val="000400AF"/>
    <w:rsid w:val="0004175C"/>
    <w:rsid w:val="00046869"/>
    <w:rsid w:val="00052763"/>
    <w:rsid w:val="0005295F"/>
    <w:rsid w:val="00053AE7"/>
    <w:rsid w:val="00054AA8"/>
    <w:rsid w:val="0005783A"/>
    <w:rsid w:val="0006059F"/>
    <w:rsid w:val="00070516"/>
    <w:rsid w:val="00074403"/>
    <w:rsid w:val="000747D5"/>
    <w:rsid w:val="00074A8C"/>
    <w:rsid w:val="000773BD"/>
    <w:rsid w:val="00082227"/>
    <w:rsid w:val="00082FBD"/>
    <w:rsid w:val="0008388B"/>
    <w:rsid w:val="00083F3C"/>
    <w:rsid w:val="0008631B"/>
    <w:rsid w:val="00091073"/>
    <w:rsid w:val="0009212A"/>
    <w:rsid w:val="00092A86"/>
    <w:rsid w:val="00094B97"/>
    <w:rsid w:val="00096808"/>
    <w:rsid w:val="000969B6"/>
    <w:rsid w:val="00096C82"/>
    <w:rsid w:val="000A42DB"/>
    <w:rsid w:val="000A46C6"/>
    <w:rsid w:val="000C649D"/>
    <w:rsid w:val="000D1049"/>
    <w:rsid w:val="000D25CF"/>
    <w:rsid w:val="000D3694"/>
    <w:rsid w:val="000D3930"/>
    <w:rsid w:val="000D40A1"/>
    <w:rsid w:val="000D63E7"/>
    <w:rsid w:val="000D7DF9"/>
    <w:rsid w:val="000E1D76"/>
    <w:rsid w:val="000E7EC3"/>
    <w:rsid w:val="000F2EA4"/>
    <w:rsid w:val="000F2FB1"/>
    <w:rsid w:val="000F5B78"/>
    <w:rsid w:val="000F7199"/>
    <w:rsid w:val="000F73C0"/>
    <w:rsid w:val="000F7444"/>
    <w:rsid w:val="000F75F5"/>
    <w:rsid w:val="0011051D"/>
    <w:rsid w:val="00110C86"/>
    <w:rsid w:val="00113BC7"/>
    <w:rsid w:val="001219EC"/>
    <w:rsid w:val="00121D1D"/>
    <w:rsid w:val="001260CA"/>
    <w:rsid w:val="00143A83"/>
    <w:rsid w:val="001509C5"/>
    <w:rsid w:val="001639F3"/>
    <w:rsid w:val="00166978"/>
    <w:rsid w:val="001673E7"/>
    <w:rsid w:val="00167974"/>
    <w:rsid w:val="00167E08"/>
    <w:rsid w:val="00171A88"/>
    <w:rsid w:val="00172903"/>
    <w:rsid w:val="00172EAC"/>
    <w:rsid w:val="00173074"/>
    <w:rsid w:val="0017352F"/>
    <w:rsid w:val="00181E58"/>
    <w:rsid w:val="0018453E"/>
    <w:rsid w:val="00184F92"/>
    <w:rsid w:val="0018635C"/>
    <w:rsid w:val="001913BF"/>
    <w:rsid w:val="001917D3"/>
    <w:rsid w:val="001A4E1E"/>
    <w:rsid w:val="001A7993"/>
    <w:rsid w:val="001B19F7"/>
    <w:rsid w:val="001C3A68"/>
    <w:rsid w:val="001C3CF7"/>
    <w:rsid w:val="001C6B23"/>
    <w:rsid w:val="001C6CA5"/>
    <w:rsid w:val="001C764D"/>
    <w:rsid w:val="001D2ECC"/>
    <w:rsid w:val="001D3BA8"/>
    <w:rsid w:val="001D450E"/>
    <w:rsid w:val="001D4B8B"/>
    <w:rsid w:val="001D66C9"/>
    <w:rsid w:val="001D6C66"/>
    <w:rsid w:val="001D7A92"/>
    <w:rsid w:val="001E0EEA"/>
    <w:rsid w:val="001E1A67"/>
    <w:rsid w:val="001E2948"/>
    <w:rsid w:val="001E74C7"/>
    <w:rsid w:val="001F0EE0"/>
    <w:rsid w:val="001F1C79"/>
    <w:rsid w:val="001F721D"/>
    <w:rsid w:val="00201B78"/>
    <w:rsid w:val="00202527"/>
    <w:rsid w:val="00204765"/>
    <w:rsid w:val="002126ED"/>
    <w:rsid w:val="002146FC"/>
    <w:rsid w:val="002170BA"/>
    <w:rsid w:val="0022497A"/>
    <w:rsid w:val="0023309A"/>
    <w:rsid w:val="00235718"/>
    <w:rsid w:val="00246C39"/>
    <w:rsid w:val="00247710"/>
    <w:rsid w:val="002517C7"/>
    <w:rsid w:val="002562A1"/>
    <w:rsid w:val="00257932"/>
    <w:rsid w:val="00257A56"/>
    <w:rsid w:val="00263209"/>
    <w:rsid w:val="00266CFA"/>
    <w:rsid w:val="00266D89"/>
    <w:rsid w:val="0026711F"/>
    <w:rsid w:val="0026721D"/>
    <w:rsid w:val="00270F96"/>
    <w:rsid w:val="00273401"/>
    <w:rsid w:val="0027765F"/>
    <w:rsid w:val="0028159A"/>
    <w:rsid w:val="0028469E"/>
    <w:rsid w:val="00287425"/>
    <w:rsid w:val="002906E3"/>
    <w:rsid w:val="002A67BF"/>
    <w:rsid w:val="002A6B32"/>
    <w:rsid w:val="002A7FF4"/>
    <w:rsid w:val="002B16FF"/>
    <w:rsid w:val="002B1C4A"/>
    <w:rsid w:val="002B29F1"/>
    <w:rsid w:val="002B2F68"/>
    <w:rsid w:val="002B45AF"/>
    <w:rsid w:val="002C484D"/>
    <w:rsid w:val="002D1D63"/>
    <w:rsid w:val="002D1E5D"/>
    <w:rsid w:val="002D2EC3"/>
    <w:rsid w:val="002E017D"/>
    <w:rsid w:val="002E14A6"/>
    <w:rsid w:val="002E173D"/>
    <w:rsid w:val="002E4765"/>
    <w:rsid w:val="002E6E6D"/>
    <w:rsid w:val="002F220D"/>
    <w:rsid w:val="002F61FB"/>
    <w:rsid w:val="00300F10"/>
    <w:rsid w:val="00302C3B"/>
    <w:rsid w:val="00303C56"/>
    <w:rsid w:val="00312B4D"/>
    <w:rsid w:val="003163A8"/>
    <w:rsid w:val="0031694E"/>
    <w:rsid w:val="00321006"/>
    <w:rsid w:val="00322032"/>
    <w:rsid w:val="003221C2"/>
    <w:rsid w:val="00322FC7"/>
    <w:rsid w:val="00323E02"/>
    <w:rsid w:val="00324022"/>
    <w:rsid w:val="0032674F"/>
    <w:rsid w:val="00333A63"/>
    <w:rsid w:val="00334015"/>
    <w:rsid w:val="00337586"/>
    <w:rsid w:val="00341BF9"/>
    <w:rsid w:val="00345DA0"/>
    <w:rsid w:val="003464F9"/>
    <w:rsid w:val="00347E49"/>
    <w:rsid w:val="003513FF"/>
    <w:rsid w:val="00353DFD"/>
    <w:rsid w:val="00355F9B"/>
    <w:rsid w:val="00371C0F"/>
    <w:rsid w:val="00381BBC"/>
    <w:rsid w:val="00390E29"/>
    <w:rsid w:val="00391380"/>
    <w:rsid w:val="0039207C"/>
    <w:rsid w:val="0039247B"/>
    <w:rsid w:val="003943D6"/>
    <w:rsid w:val="00395505"/>
    <w:rsid w:val="00397D49"/>
    <w:rsid w:val="003A2BA1"/>
    <w:rsid w:val="003A4DCA"/>
    <w:rsid w:val="003A76D6"/>
    <w:rsid w:val="003B18FB"/>
    <w:rsid w:val="003B5C9B"/>
    <w:rsid w:val="003C0F98"/>
    <w:rsid w:val="003C2855"/>
    <w:rsid w:val="003D0415"/>
    <w:rsid w:val="003D5407"/>
    <w:rsid w:val="003E3AD6"/>
    <w:rsid w:val="003E5194"/>
    <w:rsid w:val="003F1E1C"/>
    <w:rsid w:val="0040022F"/>
    <w:rsid w:val="004048CA"/>
    <w:rsid w:val="0041101E"/>
    <w:rsid w:val="004137F3"/>
    <w:rsid w:val="00414AE3"/>
    <w:rsid w:val="00414FF4"/>
    <w:rsid w:val="00415602"/>
    <w:rsid w:val="0042044F"/>
    <w:rsid w:val="00427FA8"/>
    <w:rsid w:val="00430748"/>
    <w:rsid w:val="004327A2"/>
    <w:rsid w:val="00432E72"/>
    <w:rsid w:val="0043792B"/>
    <w:rsid w:val="00440CDB"/>
    <w:rsid w:val="00441F5F"/>
    <w:rsid w:val="00442554"/>
    <w:rsid w:val="0044448A"/>
    <w:rsid w:val="0044678B"/>
    <w:rsid w:val="00450C37"/>
    <w:rsid w:val="00450D36"/>
    <w:rsid w:val="00451792"/>
    <w:rsid w:val="00451D36"/>
    <w:rsid w:val="00453382"/>
    <w:rsid w:val="0045338C"/>
    <w:rsid w:val="00453901"/>
    <w:rsid w:val="00454080"/>
    <w:rsid w:val="00454B03"/>
    <w:rsid w:val="0046472D"/>
    <w:rsid w:val="0047598B"/>
    <w:rsid w:val="00476020"/>
    <w:rsid w:val="004765AC"/>
    <w:rsid w:val="00483E3F"/>
    <w:rsid w:val="004862D0"/>
    <w:rsid w:val="00490E88"/>
    <w:rsid w:val="00492E26"/>
    <w:rsid w:val="00493256"/>
    <w:rsid w:val="004A2F9B"/>
    <w:rsid w:val="004A48D1"/>
    <w:rsid w:val="004A5D8E"/>
    <w:rsid w:val="004A7C9A"/>
    <w:rsid w:val="004B175A"/>
    <w:rsid w:val="004B2745"/>
    <w:rsid w:val="004B58DF"/>
    <w:rsid w:val="004B756D"/>
    <w:rsid w:val="004C5D48"/>
    <w:rsid w:val="004C6EA5"/>
    <w:rsid w:val="004C7ECE"/>
    <w:rsid w:val="004D1417"/>
    <w:rsid w:val="004D5C58"/>
    <w:rsid w:val="004D657B"/>
    <w:rsid w:val="004E597B"/>
    <w:rsid w:val="004F27A1"/>
    <w:rsid w:val="004F5233"/>
    <w:rsid w:val="004F544B"/>
    <w:rsid w:val="004F7E12"/>
    <w:rsid w:val="0050237F"/>
    <w:rsid w:val="005051D9"/>
    <w:rsid w:val="00514528"/>
    <w:rsid w:val="0052673F"/>
    <w:rsid w:val="00535E26"/>
    <w:rsid w:val="005438AE"/>
    <w:rsid w:val="005439C8"/>
    <w:rsid w:val="00543DC5"/>
    <w:rsid w:val="00544F56"/>
    <w:rsid w:val="0054726A"/>
    <w:rsid w:val="005541D4"/>
    <w:rsid w:val="00554ADB"/>
    <w:rsid w:val="00554E43"/>
    <w:rsid w:val="005558F5"/>
    <w:rsid w:val="00570C60"/>
    <w:rsid w:val="00571084"/>
    <w:rsid w:val="00571CB0"/>
    <w:rsid w:val="005756EF"/>
    <w:rsid w:val="0057623B"/>
    <w:rsid w:val="00576931"/>
    <w:rsid w:val="0057795C"/>
    <w:rsid w:val="005866EE"/>
    <w:rsid w:val="00590196"/>
    <w:rsid w:val="00590EB4"/>
    <w:rsid w:val="00591231"/>
    <w:rsid w:val="00593FC3"/>
    <w:rsid w:val="005959ED"/>
    <w:rsid w:val="005A4744"/>
    <w:rsid w:val="005A60A8"/>
    <w:rsid w:val="005A6BEC"/>
    <w:rsid w:val="005B2C04"/>
    <w:rsid w:val="005B6579"/>
    <w:rsid w:val="005C0E03"/>
    <w:rsid w:val="005C1670"/>
    <w:rsid w:val="005C2F13"/>
    <w:rsid w:val="005C3C48"/>
    <w:rsid w:val="005D7B1D"/>
    <w:rsid w:val="005E0C3F"/>
    <w:rsid w:val="005F149D"/>
    <w:rsid w:val="005F54C8"/>
    <w:rsid w:val="005F6031"/>
    <w:rsid w:val="005F6642"/>
    <w:rsid w:val="005F6BB0"/>
    <w:rsid w:val="0060158F"/>
    <w:rsid w:val="00601A32"/>
    <w:rsid w:val="00602C02"/>
    <w:rsid w:val="00606C9E"/>
    <w:rsid w:val="006074CE"/>
    <w:rsid w:val="00607F74"/>
    <w:rsid w:val="00612619"/>
    <w:rsid w:val="006228D2"/>
    <w:rsid w:val="00625D48"/>
    <w:rsid w:val="0063064F"/>
    <w:rsid w:val="006338D3"/>
    <w:rsid w:val="00637D49"/>
    <w:rsid w:val="00641CEC"/>
    <w:rsid w:val="00651A01"/>
    <w:rsid w:val="006555A4"/>
    <w:rsid w:val="00661DA1"/>
    <w:rsid w:val="00671537"/>
    <w:rsid w:val="006763C4"/>
    <w:rsid w:val="006776BB"/>
    <w:rsid w:val="00682E83"/>
    <w:rsid w:val="006846EF"/>
    <w:rsid w:val="0069184F"/>
    <w:rsid w:val="00692769"/>
    <w:rsid w:val="00695254"/>
    <w:rsid w:val="00695B63"/>
    <w:rsid w:val="006A41F6"/>
    <w:rsid w:val="006B1DE5"/>
    <w:rsid w:val="006B2820"/>
    <w:rsid w:val="006B3C52"/>
    <w:rsid w:val="006C50CB"/>
    <w:rsid w:val="006D1148"/>
    <w:rsid w:val="006D41B0"/>
    <w:rsid w:val="006D65E4"/>
    <w:rsid w:val="006E3F89"/>
    <w:rsid w:val="006E612B"/>
    <w:rsid w:val="006E63FE"/>
    <w:rsid w:val="006E740C"/>
    <w:rsid w:val="006E7C8D"/>
    <w:rsid w:val="006F0EF2"/>
    <w:rsid w:val="006F1185"/>
    <w:rsid w:val="006F1F8B"/>
    <w:rsid w:val="006F3B90"/>
    <w:rsid w:val="006F3ECF"/>
    <w:rsid w:val="006F61FF"/>
    <w:rsid w:val="007029FD"/>
    <w:rsid w:val="00703916"/>
    <w:rsid w:val="007079B2"/>
    <w:rsid w:val="0071123F"/>
    <w:rsid w:val="00711FDD"/>
    <w:rsid w:val="00713628"/>
    <w:rsid w:val="00715FA8"/>
    <w:rsid w:val="00717AAB"/>
    <w:rsid w:val="00720F58"/>
    <w:rsid w:val="007212FA"/>
    <w:rsid w:val="0072290A"/>
    <w:rsid w:val="00724550"/>
    <w:rsid w:val="00731B9B"/>
    <w:rsid w:val="00733181"/>
    <w:rsid w:val="00734418"/>
    <w:rsid w:val="0073477E"/>
    <w:rsid w:val="007348B4"/>
    <w:rsid w:val="00736856"/>
    <w:rsid w:val="007378E4"/>
    <w:rsid w:val="00744C4B"/>
    <w:rsid w:val="00744C88"/>
    <w:rsid w:val="007468EB"/>
    <w:rsid w:val="007477F0"/>
    <w:rsid w:val="007575BA"/>
    <w:rsid w:val="00757CF0"/>
    <w:rsid w:val="007602FF"/>
    <w:rsid w:val="007626A0"/>
    <w:rsid w:val="00765EC9"/>
    <w:rsid w:val="00770320"/>
    <w:rsid w:val="00775BE4"/>
    <w:rsid w:val="00776049"/>
    <w:rsid w:val="007765C1"/>
    <w:rsid w:val="00776729"/>
    <w:rsid w:val="00784FD8"/>
    <w:rsid w:val="007860B7"/>
    <w:rsid w:val="00790294"/>
    <w:rsid w:val="0079178C"/>
    <w:rsid w:val="007944E0"/>
    <w:rsid w:val="007A25EB"/>
    <w:rsid w:val="007A2C2F"/>
    <w:rsid w:val="007A6DDA"/>
    <w:rsid w:val="007B4F3B"/>
    <w:rsid w:val="007B59D1"/>
    <w:rsid w:val="007B66A2"/>
    <w:rsid w:val="007B7EEB"/>
    <w:rsid w:val="007C5AF7"/>
    <w:rsid w:val="007D0CBF"/>
    <w:rsid w:val="007E0F98"/>
    <w:rsid w:val="007E73CA"/>
    <w:rsid w:val="007F0579"/>
    <w:rsid w:val="007F3FAB"/>
    <w:rsid w:val="007F7816"/>
    <w:rsid w:val="00801B07"/>
    <w:rsid w:val="00803476"/>
    <w:rsid w:val="00807DF8"/>
    <w:rsid w:val="008103C7"/>
    <w:rsid w:val="00814724"/>
    <w:rsid w:val="00815B34"/>
    <w:rsid w:val="008177C8"/>
    <w:rsid w:val="0082199C"/>
    <w:rsid w:val="00831972"/>
    <w:rsid w:val="00835A53"/>
    <w:rsid w:val="00835F1E"/>
    <w:rsid w:val="00841903"/>
    <w:rsid w:val="00842EFC"/>
    <w:rsid w:val="008459D0"/>
    <w:rsid w:val="008478DD"/>
    <w:rsid w:val="008500B5"/>
    <w:rsid w:val="00851A65"/>
    <w:rsid w:val="00851E04"/>
    <w:rsid w:val="00853BCA"/>
    <w:rsid w:val="008549DC"/>
    <w:rsid w:val="00855B13"/>
    <w:rsid w:val="00870964"/>
    <w:rsid w:val="00870E5A"/>
    <w:rsid w:val="00870F25"/>
    <w:rsid w:val="00872D8C"/>
    <w:rsid w:val="0087306E"/>
    <w:rsid w:val="00873FBA"/>
    <w:rsid w:val="00882A19"/>
    <w:rsid w:val="00882C01"/>
    <w:rsid w:val="008860D8"/>
    <w:rsid w:val="00890038"/>
    <w:rsid w:val="00892429"/>
    <w:rsid w:val="008929CB"/>
    <w:rsid w:val="008A487B"/>
    <w:rsid w:val="008A6991"/>
    <w:rsid w:val="008A73A1"/>
    <w:rsid w:val="008B2D42"/>
    <w:rsid w:val="008B49E6"/>
    <w:rsid w:val="008C0B52"/>
    <w:rsid w:val="008C1FFB"/>
    <w:rsid w:val="008C5C2E"/>
    <w:rsid w:val="008D145B"/>
    <w:rsid w:val="008D593D"/>
    <w:rsid w:val="008E0894"/>
    <w:rsid w:val="008E28BB"/>
    <w:rsid w:val="008E41E8"/>
    <w:rsid w:val="008E4EBC"/>
    <w:rsid w:val="008F0A43"/>
    <w:rsid w:val="008F0D1E"/>
    <w:rsid w:val="008F1B90"/>
    <w:rsid w:val="008F3296"/>
    <w:rsid w:val="00904884"/>
    <w:rsid w:val="009106E7"/>
    <w:rsid w:val="00910F27"/>
    <w:rsid w:val="009128BC"/>
    <w:rsid w:val="00913FBC"/>
    <w:rsid w:val="00915016"/>
    <w:rsid w:val="00923195"/>
    <w:rsid w:val="009275A0"/>
    <w:rsid w:val="00934CB5"/>
    <w:rsid w:val="0093724E"/>
    <w:rsid w:val="00941997"/>
    <w:rsid w:val="00942124"/>
    <w:rsid w:val="00943B14"/>
    <w:rsid w:val="009441E7"/>
    <w:rsid w:val="009470E6"/>
    <w:rsid w:val="0095181C"/>
    <w:rsid w:val="00963007"/>
    <w:rsid w:val="00975B6A"/>
    <w:rsid w:val="0097656B"/>
    <w:rsid w:val="009844E6"/>
    <w:rsid w:val="009847A3"/>
    <w:rsid w:val="00984EB2"/>
    <w:rsid w:val="00993315"/>
    <w:rsid w:val="009936D9"/>
    <w:rsid w:val="00995AEA"/>
    <w:rsid w:val="009960A6"/>
    <w:rsid w:val="009A063B"/>
    <w:rsid w:val="009A15E2"/>
    <w:rsid w:val="009A1747"/>
    <w:rsid w:val="009A19B6"/>
    <w:rsid w:val="009A1A5F"/>
    <w:rsid w:val="009A58A6"/>
    <w:rsid w:val="009B1E2B"/>
    <w:rsid w:val="009B35B5"/>
    <w:rsid w:val="009B529A"/>
    <w:rsid w:val="009C52B2"/>
    <w:rsid w:val="009D0FFA"/>
    <w:rsid w:val="009D1018"/>
    <w:rsid w:val="009F2B70"/>
    <w:rsid w:val="009F3229"/>
    <w:rsid w:val="009F501D"/>
    <w:rsid w:val="00A027B6"/>
    <w:rsid w:val="00A051E1"/>
    <w:rsid w:val="00A054A4"/>
    <w:rsid w:val="00A0750D"/>
    <w:rsid w:val="00A1398D"/>
    <w:rsid w:val="00A13BE0"/>
    <w:rsid w:val="00A208D9"/>
    <w:rsid w:val="00A330FA"/>
    <w:rsid w:val="00A365C4"/>
    <w:rsid w:val="00A3688F"/>
    <w:rsid w:val="00A371CF"/>
    <w:rsid w:val="00A42686"/>
    <w:rsid w:val="00A44B7C"/>
    <w:rsid w:val="00A477E5"/>
    <w:rsid w:val="00A571F6"/>
    <w:rsid w:val="00A61053"/>
    <w:rsid w:val="00A61871"/>
    <w:rsid w:val="00A61C0E"/>
    <w:rsid w:val="00A65422"/>
    <w:rsid w:val="00A67548"/>
    <w:rsid w:val="00A727DE"/>
    <w:rsid w:val="00A76F20"/>
    <w:rsid w:val="00A8259B"/>
    <w:rsid w:val="00A858A7"/>
    <w:rsid w:val="00A879DA"/>
    <w:rsid w:val="00A9069B"/>
    <w:rsid w:val="00AA3097"/>
    <w:rsid w:val="00AA37D0"/>
    <w:rsid w:val="00AA45D3"/>
    <w:rsid w:val="00AB5B89"/>
    <w:rsid w:val="00AC27DF"/>
    <w:rsid w:val="00AC4E0E"/>
    <w:rsid w:val="00AD0324"/>
    <w:rsid w:val="00AD1B05"/>
    <w:rsid w:val="00AD1D1C"/>
    <w:rsid w:val="00AD2995"/>
    <w:rsid w:val="00AD2EDA"/>
    <w:rsid w:val="00AD4C39"/>
    <w:rsid w:val="00AD5995"/>
    <w:rsid w:val="00AD78AF"/>
    <w:rsid w:val="00AE17BA"/>
    <w:rsid w:val="00AE1A77"/>
    <w:rsid w:val="00AE3B07"/>
    <w:rsid w:val="00AE68FB"/>
    <w:rsid w:val="00AE7491"/>
    <w:rsid w:val="00AF2C0A"/>
    <w:rsid w:val="00AF332F"/>
    <w:rsid w:val="00AF3885"/>
    <w:rsid w:val="00B013A7"/>
    <w:rsid w:val="00B06014"/>
    <w:rsid w:val="00B06439"/>
    <w:rsid w:val="00B1119D"/>
    <w:rsid w:val="00B123C7"/>
    <w:rsid w:val="00B13BE4"/>
    <w:rsid w:val="00B13E27"/>
    <w:rsid w:val="00B144D2"/>
    <w:rsid w:val="00B16CBB"/>
    <w:rsid w:val="00B213CC"/>
    <w:rsid w:val="00B26522"/>
    <w:rsid w:val="00B26ED3"/>
    <w:rsid w:val="00B30287"/>
    <w:rsid w:val="00B31408"/>
    <w:rsid w:val="00B32EBF"/>
    <w:rsid w:val="00B35EFF"/>
    <w:rsid w:val="00B36321"/>
    <w:rsid w:val="00B4230A"/>
    <w:rsid w:val="00B43577"/>
    <w:rsid w:val="00B44F7F"/>
    <w:rsid w:val="00B46E53"/>
    <w:rsid w:val="00B52122"/>
    <w:rsid w:val="00B5677F"/>
    <w:rsid w:val="00B601B1"/>
    <w:rsid w:val="00B63A6E"/>
    <w:rsid w:val="00B71CDD"/>
    <w:rsid w:val="00B735AB"/>
    <w:rsid w:val="00B743B4"/>
    <w:rsid w:val="00B80576"/>
    <w:rsid w:val="00B82A35"/>
    <w:rsid w:val="00B84568"/>
    <w:rsid w:val="00B9061F"/>
    <w:rsid w:val="00BA404F"/>
    <w:rsid w:val="00BA4A30"/>
    <w:rsid w:val="00BB08B8"/>
    <w:rsid w:val="00BB2020"/>
    <w:rsid w:val="00BB2BD7"/>
    <w:rsid w:val="00BB7957"/>
    <w:rsid w:val="00BC2F12"/>
    <w:rsid w:val="00BC2FAB"/>
    <w:rsid w:val="00BD1C9E"/>
    <w:rsid w:val="00BD4640"/>
    <w:rsid w:val="00BD501E"/>
    <w:rsid w:val="00BD5AFB"/>
    <w:rsid w:val="00BD6FBB"/>
    <w:rsid w:val="00BF2E7F"/>
    <w:rsid w:val="00BF6F8B"/>
    <w:rsid w:val="00C014F1"/>
    <w:rsid w:val="00C101F8"/>
    <w:rsid w:val="00C106E4"/>
    <w:rsid w:val="00C10BA5"/>
    <w:rsid w:val="00C13241"/>
    <w:rsid w:val="00C179AF"/>
    <w:rsid w:val="00C208FC"/>
    <w:rsid w:val="00C24E40"/>
    <w:rsid w:val="00C2504B"/>
    <w:rsid w:val="00C25327"/>
    <w:rsid w:val="00C3105D"/>
    <w:rsid w:val="00C31D2F"/>
    <w:rsid w:val="00C3610D"/>
    <w:rsid w:val="00C40DA3"/>
    <w:rsid w:val="00C4281C"/>
    <w:rsid w:val="00C531BC"/>
    <w:rsid w:val="00C53B3B"/>
    <w:rsid w:val="00C567A3"/>
    <w:rsid w:val="00C6050B"/>
    <w:rsid w:val="00C609D5"/>
    <w:rsid w:val="00C61726"/>
    <w:rsid w:val="00C62D92"/>
    <w:rsid w:val="00C6597B"/>
    <w:rsid w:val="00C70F49"/>
    <w:rsid w:val="00C73D72"/>
    <w:rsid w:val="00C76955"/>
    <w:rsid w:val="00C772FE"/>
    <w:rsid w:val="00C81B43"/>
    <w:rsid w:val="00C82FCD"/>
    <w:rsid w:val="00C83DDA"/>
    <w:rsid w:val="00C85891"/>
    <w:rsid w:val="00C87F49"/>
    <w:rsid w:val="00C9009E"/>
    <w:rsid w:val="00C93F3E"/>
    <w:rsid w:val="00C957F6"/>
    <w:rsid w:val="00CA0E89"/>
    <w:rsid w:val="00CA2EF7"/>
    <w:rsid w:val="00CA76FD"/>
    <w:rsid w:val="00CB2444"/>
    <w:rsid w:val="00CB3981"/>
    <w:rsid w:val="00CB55C0"/>
    <w:rsid w:val="00CB6A5C"/>
    <w:rsid w:val="00CC457D"/>
    <w:rsid w:val="00CC5845"/>
    <w:rsid w:val="00CC5A93"/>
    <w:rsid w:val="00CC786F"/>
    <w:rsid w:val="00CD11FA"/>
    <w:rsid w:val="00CD50EA"/>
    <w:rsid w:val="00CD581C"/>
    <w:rsid w:val="00CD622C"/>
    <w:rsid w:val="00CE66CB"/>
    <w:rsid w:val="00CE781B"/>
    <w:rsid w:val="00CF2016"/>
    <w:rsid w:val="00CF2669"/>
    <w:rsid w:val="00CF36BB"/>
    <w:rsid w:val="00D0652B"/>
    <w:rsid w:val="00D067C2"/>
    <w:rsid w:val="00D1202C"/>
    <w:rsid w:val="00D16466"/>
    <w:rsid w:val="00D16C30"/>
    <w:rsid w:val="00D17F8E"/>
    <w:rsid w:val="00D20D98"/>
    <w:rsid w:val="00D211B2"/>
    <w:rsid w:val="00D21D72"/>
    <w:rsid w:val="00D223F3"/>
    <w:rsid w:val="00D22570"/>
    <w:rsid w:val="00D2305A"/>
    <w:rsid w:val="00D261F0"/>
    <w:rsid w:val="00D271E5"/>
    <w:rsid w:val="00D30F41"/>
    <w:rsid w:val="00D32906"/>
    <w:rsid w:val="00D37EC7"/>
    <w:rsid w:val="00D41679"/>
    <w:rsid w:val="00D426E3"/>
    <w:rsid w:val="00D42C12"/>
    <w:rsid w:val="00D55837"/>
    <w:rsid w:val="00D640FC"/>
    <w:rsid w:val="00D6612C"/>
    <w:rsid w:val="00D71399"/>
    <w:rsid w:val="00D74AA4"/>
    <w:rsid w:val="00D74BD7"/>
    <w:rsid w:val="00D7631C"/>
    <w:rsid w:val="00D916FD"/>
    <w:rsid w:val="00D91E0F"/>
    <w:rsid w:val="00D92601"/>
    <w:rsid w:val="00D92F47"/>
    <w:rsid w:val="00D955AF"/>
    <w:rsid w:val="00DA3975"/>
    <w:rsid w:val="00DA6612"/>
    <w:rsid w:val="00DA69EE"/>
    <w:rsid w:val="00DB1704"/>
    <w:rsid w:val="00DC4CBE"/>
    <w:rsid w:val="00DC6CCA"/>
    <w:rsid w:val="00DD1198"/>
    <w:rsid w:val="00DD2FF8"/>
    <w:rsid w:val="00DD3DF3"/>
    <w:rsid w:val="00DD6C68"/>
    <w:rsid w:val="00DE13F5"/>
    <w:rsid w:val="00DE2416"/>
    <w:rsid w:val="00DE44CD"/>
    <w:rsid w:val="00DE4E5C"/>
    <w:rsid w:val="00DE55B7"/>
    <w:rsid w:val="00DF0A2C"/>
    <w:rsid w:val="00DF10A7"/>
    <w:rsid w:val="00DF606D"/>
    <w:rsid w:val="00DF7395"/>
    <w:rsid w:val="00DF7920"/>
    <w:rsid w:val="00E03D41"/>
    <w:rsid w:val="00E0472F"/>
    <w:rsid w:val="00E04E7E"/>
    <w:rsid w:val="00E16A04"/>
    <w:rsid w:val="00E20BD6"/>
    <w:rsid w:val="00E22BDD"/>
    <w:rsid w:val="00E22DEF"/>
    <w:rsid w:val="00E23264"/>
    <w:rsid w:val="00E3083D"/>
    <w:rsid w:val="00E33168"/>
    <w:rsid w:val="00E3545A"/>
    <w:rsid w:val="00E37D6A"/>
    <w:rsid w:val="00E41B85"/>
    <w:rsid w:val="00E45D9D"/>
    <w:rsid w:val="00E5716A"/>
    <w:rsid w:val="00E6099A"/>
    <w:rsid w:val="00E630C8"/>
    <w:rsid w:val="00E65C4F"/>
    <w:rsid w:val="00E67C76"/>
    <w:rsid w:val="00E71163"/>
    <w:rsid w:val="00E80309"/>
    <w:rsid w:val="00E81ACD"/>
    <w:rsid w:val="00E823B5"/>
    <w:rsid w:val="00E91D2B"/>
    <w:rsid w:val="00E937CE"/>
    <w:rsid w:val="00E93C95"/>
    <w:rsid w:val="00E94D6F"/>
    <w:rsid w:val="00EA0CE9"/>
    <w:rsid w:val="00EA4985"/>
    <w:rsid w:val="00EA7253"/>
    <w:rsid w:val="00EB2AB0"/>
    <w:rsid w:val="00EB75DD"/>
    <w:rsid w:val="00EC3572"/>
    <w:rsid w:val="00ED0848"/>
    <w:rsid w:val="00ED5D9C"/>
    <w:rsid w:val="00ED7821"/>
    <w:rsid w:val="00EE1BF4"/>
    <w:rsid w:val="00EE4096"/>
    <w:rsid w:val="00EE43D9"/>
    <w:rsid w:val="00EF7560"/>
    <w:rsid w:val="00F020B2"/>
    <w:rsid w:val="00F0363D"/>
    <w:rsid w:val="00F03675"/>
    <w:rsid w:val="00F07A48"/>
    <w:rsid w:val="00F14787"/>
    <w:rsid w:val="00F14E63"/>
    <w:rsid w:val="00F16D31"/>
    <w:rsid w:val="00F16E3B"/>
    <w:rsid w:val="00F34D07"/>
    <w:rsid w:val="00F371B5"/>
    <w:rsid w:val="00F37CC3"/>
    <w:rsid w:val="00F40F8C"/>
    <w:rsid w:val="00F41705"/>
    <w:rsid w:val="00F44882"/>
    <w:rsid w:val="00F51C69"/>
    <w:rsid w:val="00F52542"/>
    <w:rsid w:val="00F550DE"/>
    <w:rsid w:val="00F55758"/>
    <w:rsid w:val="00F55A60"/>
    <w:rsid w:val="00F55C2A"/>
    <w:rsid w:val="00F70730"/>
    <w:rsid w:val="00F71F65"/>
    <w:rsid w:val="00F73EC9"/>
    <w:rsid w:val="00F802F0"/>
    <w:rsid w:val="00F83E08"/>
    <w:rsid w:val="00F85748"/>
    <w:rsid w:val="00F85E78"/>
    <w:rsid w:val="00F86063"/>
    <w:rsid w:val="00F864BC"/>
    <w:rsid w:val="00F9392B"/>
    <w:rsid w:val="00F96561"/>
    <w:rsid w:val="00F970D1"/>
    <w:rsid w:val="00FA03DB"/>
    <w:rsid w:val="00FA42C1"/>
    <w:rsid w:val="00FA619E"/>
    <w:rsid w:val="00FB0B9C"/>
    <w:rsid w:val="00FB0DE5"/>
    <w:rsid w:val="00FB44C7"/>
    <w:rsid w:val="00FC64E0"/>
    <w:rsid w:val="00FD3276"/>
    <w:rsid w:val="00FD3CDA"/>
    <w:rsid w:val="00FE1D23"/>
    <w:rsid w:val="00FE2BEC"/>
    <w:rsid w:val="00FE3BEB"/>
    <w:rsid w:val="00FE3F68"/>
    <w:rsid w:val="00FF1023"/>
    <w:rsid w:val="00FF16F6"/>
    <w:rsid w:val="00FF3FB3"/>
    <w:rsid w:val="00FF4956"/>
    <w:rsid w:val="00FF5702"/>
    <w:rsid w:val="00FF6E06"/>
    <w:rsid w:val="017B5688"/>
    <w:rsid w:val="0216715F"/>
    <w:rsid w:val="03EA08A3"/>
    <w:rsid w:val="03FB660C"/>
    <w:rsid w:val="04B30C95"/>
    <w:rsid w:val="05854D29"/>
    <w:rsid w:val="05E66219"/>
    <w:rsid w:val="07DF3D76"/>
    <w:rsid w:val="07F10EAC"/>
    <w:rsid w:val="07F17513"/>
    <w:rsid w:val="081D2374"/>
    <w:rsid w:val="082A1F58"/>
    <w:rsid w:val="084C5688"/>
    <w:rsid w:val="0A6937F7"/>
    <w:rsid w:val="0A696084"/>
    <w:rsid w:val="0ABC6466"/>
    <w:rsid w:val="0B0A069C"/>
    <w:rsid w:val="0B653233"/>
    <w:rsid w:val="0BED7182"/>
    <w:rsid w:val="0C2D57D1"/>
    <w:rsid w:val="0CE560AB"/>
    <w:rsid w:val="0D5A0848"/>
    <w:rsid w:val="0DBC6E0C"/>
    <w:rsid w:val="0E6E5D66"/>
    <w:rsid w:val="0E7476E7"/>
    <w:rsid w:val="0E754F8F"/>
    <w:rsid w:val="0FBE2419"/>
    <w:rsid w:val="0FC71A98"/>
    <w:rsid w:val="1034712E"/>
    <w:rsid w:val="103E61FE"/>
    <w:rsid w:val="107E65FB"/>
    <w:rsid w:val="11186A50"/>
    <w:rsid w:val="115A177E"/>
    <w:rsid w:val="1170063A"/>
    <w:rsid w:val="11CC30AE"/>
    <w:rsid w:val="122B4561"/>
    <w:rsid w:val="12374CB3"/>
    <w:rsid w:val="12516798"/>
    <w:rsid w:val="125906B5"/>
    <w:rsid w:val="12D22C2E"/>
    <w:rsid w:val="12E56E05"/>
    <w:rsid w:val="130059ED"/>
    <w:rsid w:val="13CA1B57"/>
    <w:rsid w:val="13F007CA"/>
    <w:rsid w:val="14545F69"/>
    <w:rsid w:val="14DA401C"/>
    <w:rsid w:val="1527507F"/>
    <w:rsid w:val="154B17AE"/>
    <w:rsid w:val="17231CAA"/>
    <w:rsid w:val="174E26C0"/>
    <w:rsid w:val="17692FF8"/>
    <w:rsid w:val="17C52CBF"/>
    <w:rsid w:val="18C43019"/>
    <w:rsid w:val="19A1335A"/>
    <w:rsid w:val="19CE23A1"/>
    <w:rsid w:val="19E25E4D"/>
    <w:rsid w:val="1A226249"/>
    <w:rsid w:val="1AA46848"/>
    <w:rsid w:val="1B285AE1"/>
    <w:rsid w:val="1BC81072"/>
    <w:rsid w:val="1CBC3A3E"/>
    <w:rsid w:val="1D01483C"/>
    <w:rsid w:val="1D295B40"/>
    <w:rsid w:val="1DF714EC"/>
    <w:rsid w:val="1E214A6A"/>
    <w:rsid w:val="1E9C4B71"/>
    <w:rsid w:val="1F0329B9"/>
    <w:rsid w:val="1FDB5818"/>
    <w:rsid w:val="1FE168F0"/>
    <w:rsid w:val="215018EE"/>
    <w:rsid w:val="216B2780"/>
    <w:rsid w:val="21F763A4"/>
    <w:rsid w:val="25585215"/>
    <w:rsid w:val="257D111F"/>
    <w:rsid w:val="25D86356"/>
    <w:rsid w:val="263E05BB"/>
    <w:rsid w:val="26881727"/>
    <w:rsid w:val="26A30712"/>
    <w:rsid w:val="2778394C"/>
    <w:rsid w:val="279F712B"/>
    <w:rsid w:val="27D843EB"/>
    <w:rsid w:val="27FD1429"/>
    <w:rsid w:val="28E55011"/>
    <w:rsid w:val="296E7E0A"/>
    <w:rsid w:val="29BD12C0"/>
    <w:rsid w:val="2A743FEE"/>
    <w:rsid w:val="2B1B11BE"/>
    <w:rsid w:val="2B2A31B0"/>
    <w:rsid w:val="2B400C25"/>
    <w:rsid w:val="2C7C196A"/>
    <w:rsid w:val="2CD54D1D"/>
    <w:rsid w:val="2D5E35E4"/>
    <w:rsid w:val="2E70537D"/>
    <w:rsid w:val="2EDD77F3"/>
    <w:rsid w:val="2F4202AE"/>
    <w:rsid w:val="304F5466"/>
    <w:rsid w:val="30754091"/>
    <w:rsid w:val="307C26FF"/>
    <w:rsid w:val="309317F7"/>
    <w:rsid w:val="31115A2A"/>
    <w:rsid w:val="312B7C81"/>
    <w:rsid w:val="328A09D8"/>
    <w:rsid w:val="339B5E39"/>
    <w:rsid w:val="34160775"/>
    <w:rsid w:val="342F393D"/>
    <w:rsid w:val="34655258"/>
    <w:rsid w:val="34806C8E"/>
    <w:rsid w:val="34CA6229"/>
    <w:rsid w:val="35374E47"/>
    <w:rsid w:val="3542559A"/>
    <w:rsid w:val="36363DA8"/>
    <w:rsid w:val="366D2313"/>
    <w:rsid w:val="36794FEB"/>
    <w:rsid w:val="36BB5BB8"/>
    <w:rsid w:val="37C24A54"/>
    <w:rsid w:val="37FB6A6F"/>
    <w:rsid w:val="38167665"/>
    <w:rsid w:val="38212D37"/>
    <w:rsid w:val="38381BBE"/>
    <w:rsid w:val="38F54600"/>
    <w:rsid w:val="39247160"/>
    <w:rsid w:val="398910DC"/>
    <w:rsid w:val="39F23389"/>
    <w:rsid w:val="3A080B60"/>
    <w:rsid w:val="3AC21656"/>
    <w:rsid w:val="3AF15A98"/>
    <w:rsid w:val="3B9C3C56"/>
    <w:rsid w:val="3BF6437E"/>
    <w:rsid w:val="3E873AB3"/>
    <w:rsid w:val="3EF975BF"/>
    <w:rsid w:val="407A02DD"/>
    <w:rsid w:val="41A90E7A"/>
    <w:rsid w:val="41B65345"/>
    <w:rsid w:val="42044568"/>
    <w:rsid w:val="42DF0A26"/>
    <w:rsid w:val="42E12333"/>
    <w:rsid w:val="435A7F52"/>
    <w:rsid w:val="43884ABF"/>
    <w:rsid w:val="438F4CDB"/>
    <w:rsid w:val="44380293"/>
    <w:rsid w:val="4504461A"/>
    <w:rsid w:val="4550336E"/>
    <w:rsid w:val="458347A5"/>
    <w:rsid w:val="460C5307"/>
    <w:rsid w:val="46F352DF"/>
    <w:rsid w:val="46FA2178"/>
    <w:rsid w:val="47490A0A"/>
    <w:rsid w:val="47653A95"/>
    <w:rsid w:val="47865CEF"/>
    <w:rsid w:val="489B012F"/>
    <w:rsid w:val="4A0D21C2"/>
    <w:rsid w:val="4A1277D9"/>
    <w:rsid w:val="4A4B3B33"/>
    <w:rsid w:val="4ABD7744"/>
    <w:rsid w:val="4B3D0885"/>
    <w:rsid w:val="4C5916EF"/>
    <w:rsid w:val="4C7E151D"/>
    <w:rsid w:val="4E5C081F"/>
    <w:rsid w:val="4E622297"/>
    <w:rsid w:val="4E773463"/>
    <w:rsid w:val="4EC15DD0"/>
    <w:rsid w:val="4ED3737F"/>
    <w:rsid w:val="4F363F69"/>
    <w:rsid w:val="4FD74FA5"/>
    <w:rsid w:val="50E53551"/>
    <w:rsid w:val="511B51C5"/>
    <w:rsid w:val="51357465"/>
    <w:rsid w:val="515D3A2F"/>
    <w:rsid w:val="51E90E1F"/>
    <w:rsid w:val="52274008"/>
    <w:rsid w:val="52B7716F"/>
    <w:rsid w:val="530B2B81"/>
    <w:rsid w:val="53957D8F"/>
    <w:rsid w:val="5438608E"/>
    <w:rsid w:val="54754BEC"/>
    <w:rsid w:val="5560622B"/>
    <w:rsid w:val="568A37D5"/>
    <w:rsid w:val="56B363CB"/>
    <w:rsid w:val="56E524FD"/>
    <w:rsid w:val="570D55B0"/>
    <w:rsid w:val="57144B90"/>
    <w:rsid w:val="575C2093"/>
    <w:rsid w:val="579E7811"/>
    <w:rsid w:val="57C9597B"/>
    <w:rsid w:val="58164938"/>
    <w:rsid w:val="58705DF6"/>
    <w:rsid w:val="5891333D"/>
    <w:rsid w:val="59C83A10"/>
    <w:rsid w:val="59E77D7B"/>
    <w:rsid w:val="5ADE798F"/>
    <w:rsid w:val="5B540F34"/>
    <w:rsid w:val="5BA43FB8"/>
    <w:rsid w:val="5C403BD4"/>
    <w:rsid w:val="5CBF760A"/>
    <w:rsid w:val="5D1D4073"/>
    <w:rsid w:val="5D610403"/>
    <w:rsid w:val="5D835E5C"/>
    <w:rsid w:val="5E324AF8"/>
    <w:rsid w:val="5E4344A4"/>
    <w:rsid w:val="5E56783C"/>
    <w:rsid w:val="5ECB647C"/>
    <w:rsid w:val="5F0B4ACB"/>
    <w:rsid w:val="5F39021E"/>
    <w:rsid w:val="5FC1126C"/>
    <w:rsid w:val="5FCF0B02"/>
    <w:rsid w:val="608E35C3"/>
    <w:rsid w:val="60AA0313"/>
    <w:rsid w:val="625C5CEF"/>
    <w:rsid w:val="63D538F9"/>
    <w:rsid w:val="65862ADF"/>
    <w:rsid w:val="65960117"/>
    <w:rsid w:val="659B022A"/>
    <w:rsid w:val="65D35C16"/>
    <w:rsid w:val="6655487D"/>
    <w:rsid w:val="6672290A"/>
    <w:rsid w:val="66884C53"/>
    <w:rsid w:val="6714749B"/>
    <w:rsid w:val="680F0C42"/>
    <w:rsid w:val="68183B09"/>
    <w:rsid w:val="685272C6"/>
    <w:rsid w:val="69794D27"/>
    <w:rsid w:val="69B5367B"/>
    <w:rsid w:val="69CF0E9E"/>
    <w:rsid w:val="69E80843"/>
    <w:rsid w:val="6AEC484B"/>
    <w:rsid w:val="6AFA006C"/>
    <w:rsid w:val="6C041C46"/>
    <w:rsid w:val="6C101972"/>
    <w:rsid w:val="6CDC1854"/>
    <w:rsid w:val="6FC420DD"/>
    <w:rsid w:val="70016C54"/>
    <w:rsid w:val="70BD225E"/>
    <w:rsid w:val="70CE69BE"/>
    <w:rsid w:val="710250A6"/>
    <w:rsid w:val="712B4B58"/>
    <w:rsid w:val="7220386F"/>
    <w:rsid w:val="738D5656"/>
    <w:rsid w:val="73EF1E6D"/>
    <w:rsid w:val="741B5358"/>
    <w:rsid w:val="742F670E"/>
    <w:rsid w:val="756141E1"/>
    <w:rsid w:val="758B4A63"/>
    <w:rsid w:val="75F55735"/>
    <w:rsid w:val="771D4F43"/>
    <w:rsid w:val="77277B70"/>
    <w:rsid w:val="77D71596"/>
    <w:rsid w:val="783A38D3"/>
    <w:rsid w:val="78880489"/>
    <w:rsid w:val="79492020"/>
    <w:rsid w:val="7A815E36"/>
    <w:rsid w:val="7C6955CA"/>
    <w:rsid w:val="7C8274C3"/>
    <w:rsid w:val="7CC55E61"/>
    <w:rsid w:val="7D1A2FE3"/>
    <w:rsid w:val="7D256900"/>
    <w:rsid w:val="7E2B263C"/>
    <w:rsid w:val="7E576F8D"/>
    <w:rsid w:val="7ECA59B1"/>
    <w:rsid w:val="7EE13EA6"/>
    <w:rsid w:val="7F012A6E"/>
    <w:rsid w:val="7F3C4EDD"/>
    <w:rsid w:val="7FD82F57"/>
    <w:rsid w:val="7FD840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32"/>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33"/>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34"/>
    <w:qFormat/>
    <w:uiPriority w:val="0"/>
    <w:pPr>
      <w:keepNext/>
      <w:keepLines/>
      <w:spacing w:before="260" w:after="260" w:line="415" w:lineRule="auto"/>
      <w:outlineLvl w:val="2"/>
    </w:pPr>
    <w:rPr>
      <w:b/>
      <w:sz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0"/>
    <w:pPr>
      <w:adjustRightInd w:val="0"/>
      <w:spacing w:before="240" w:after="60" w:line="420" w:lineRule="atLeast"/>
      <w:jc w:val="center"/>
      <w:textAlignment w:val="baseline"/>
      <w:outlineLvl w:val="0"/>
    </w:pPr>
    <w:rPr>
      <w:rFonts w:ascii="Arial" w:hAnsi="Arial"/>
      <w:b/>
      <w:kern w:val="0"/>
      <w:sz w:val="32"/>
      <w:szCs w:val="20"/>
    </w:rPr>
  </w:style>
  <w:style w:type="paragraph" w:styleId="6">
    <w:name w:val="Normal Indent"/>
    <w:basedOn w:val="1"/>
    <w:link w:val="60"/>
    <w:qFormat/>
    <w:uiPriority w:val="99"/>
    <w:pPr>
      <w:autoSpaceDE w:val="0"/>
      <w:autoSpaceDN w:val="0"/>
      <w:adjustRightInd w:val="0"/>
      <w:ind w:firstLine="420"/>
    </w:pPr>
    <w:rPr>
      <w:rFonts w:ascii="宋体"/>
      <w:sz w:val="24"/>
    </w:rPr>
  </w:style>
  <w:style w:type="paragraph" w:styleId="7">
    <w:name w:val="Document Map"/>
    <w:basedOn w:val="1"/>
    <w:link w:val="41"/>
    <w:unhideWhenUsed/>
    <w:qFormat/>
    <w:uiPriority w:val="99"/>
    <w:rPr>
      <w:rFonts w:ascii="宋体" w:hAnsiTheme="minorHAnsi" w:cstheme="minorBidi"/>
      <w:sz w:val="18"/>
      <w:szCs w:val="18"/>
    </w:rPr>
  </w:style>
  <w:style w:type="paragraph" w:styleId="8">
    <w:name w:val="annotation text"/>
    <w:basedOn w:val="1"/>
    <w:link w:val="42"/>
    <w:unhideWhenUsed/>
    <w:qFormat/>
    <w:uiPriority w:val="0"/>
    <w:pPr>
      <w:jc w:val="left"/>
    </w:pPr>
  </w:style>
  <w:style w:type="paragraph" w:styleId="9">
    <w:name w:val="Body Text"/>
    <w:basedOn w:val="1"/>
    <w:next w:val="10"/>
    <w:link w:val="44"/>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10">
    <w:name w:val="Intense Quote"/>
    <w:basedOn w:val="1"/>
    <w:next w:val="1"/>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paragraph" w:styleId="11">
    <w:name w:val="Body Text Indent"/>
    <w:basedOn w:val="1"/>
    <w:link w:val="45"/>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2">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3">
    <w:name w:val="Plain Text"/>
    <w:basedOn w:val="1"/>
    <w:link w:val="46"/>
    <w:qFormat/>
    <w:uiPriority w:val="99"/>
    <w:rPr>
      <w:rFonts w:ascii="宋体" w:hAnsi="宋体" w:eastAsiaTheme="minorEastAsia" w:cstheme="minorBidi"/>
      <w:sz w:val="26"/>
      <w:szCs w:val="22"/>
    </w:rPr>
  </w:style>
  <w:style w:type="paragraph" w:styleId="14">
    <w:name w:val="Date"/>
    <w:next w:val="1"/>
    <w:link w:val="47"/>
    <w:qFormat/>
    <w:uiPriority w:val="0"/>
    <w:pPr>
      <w:widowControl w:val="0"/>
      <w:jc w:val="both"/>
    </w:pPr>
    <w:rPr>
      <w:rFonts w:ascii="宋体" w:hAnsi="宋体" w:eastAsia="宋体" w:cs="Times New Roman"/>
      <w:kern w:val="2"/>
      <w:sz w:val="24"/>
      <w:lang w:val="en-US" w:eastAsia="zh-CN" w:bidi="ar-SA"/>
    </w:rPr>
  </w:style>
  <w:style w:type="paragraph" w:styleId="15">
    <w:name w:val="Body Text Indent 2"/>
    <w:link w:val="48"/>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6">
    <w:name w:val="Balloon Text"/>
    <w:basedOn w:val="1"/>
    <w:link w:val="49"/>
    <w:unhideWhenUsed/>
    <w:qFormat/>
    <w:uiPriority w:val="99"/>
    <w:rPr>
      <w:rFonts w:asciiTheme="minorHAnsi" w:hAnsiTheme="minorHAnsi" w:cstheme="minorBidi"/>
      <w:sz w:val="18"/>
      <w:szCs w:val="18"/>
    </w:rPr>
  </w:style>
  <w:style w:type="paragraph" w:styleId="17">
    <w:name w:val="footer"/>
    <w:basedOn w:val="1"/>
    <w:link w:val="50"/>
    <w:qFormat/>
    <w:uiPriority w:val="0"/>
    <w:pPr>
      <w:tabs>
        <w:tab w:val="center" w:pos="4153"/>
        <w:tab w:val="right" w:pos="8307"/>
      </w:tabs>
      <w:snapToGrid w:val="0"/>
      <w:jc w:val="left"/>
    </w:pPr>
    <w:rPr>
      <w:rFonts w:asciiTheme="minorHAnsi" w:hAnsiTheme="minorHAnsi" w:cstheme="minorBidi"/>
      <w:sz w:val="18"/>
      <w:szCs w:val="22"/>
    </w:rPr>
  </w:style>
  <w:style w:type="paragraph" w:styleId="18">
    <w:name w:val="header"/>
    <w:basedOn w:val="1"/>
    <w:link w:val="51"/>
    <w:qFormat/>
    <w:uiPriority w:val="0"/>
    <w:pPr>
      <w:pBdr>
        <w:bottom w:val="single" w:color="auto" w:sz="6" w:space="1"/>
      </w:pBdr>
      <w:tabs>
        <w:tab w:val="center" w:pos="4153"/>
        <w:tab w:val="right" w:pos="8307"/>
      </w:tabs>
      <w:snapToGrid w:val="0"/>
      <w:jc w:val="center"/>
    </w:pPr>
    <w:rPr>
      <w:sz w:val="18"/>
    </w:rPr>
  </w:style>
  <w:style w:type="paragraph" w:styleId="19">
    <w:name w:val="toc 1"/>
    <w:basedOn w:val="1"/>
    <w:next w:val="1"/>
    <w:unhideWhenUsed/>
    <w:qFormat/>
    <w:uiPriority w:val="39"/>
    <w:pPr>
      <w:spacing w:before="240" w:after="240"/>
    </w:pPr>
    <w:rPr>
      <w:b/>
      <w:sz w:val="32"/>
    </w:rPr>
  </w:style>
  <w:style w:type="paragraph" w:styleId="20">
    <w:name w:val="toc 4"/>
    <w:basedOn w:val="1"/>
    <w:next w:val="1"/>
    <w:qFormat/>
    <w:uiPriority w:val="0"/>
    <w:pPr>
      <w:ind w:left="1260"/>
    </w:pPr>
  </w:style>
  <w:style w:type="paragraph" w:styleId="21">
    <w:name w:val="toc 2"/>
    <w:basedOn w:val="1"/>
    <w:next w:val="1"/>
    <w:unhideWhenUsed/>
    <w:qFormat/>
    <w:uiPriority w:val="39"/>
    <w:pPr>
      <w:ind w:left="420" w:leftChars="200"/>
    </w:pPr>
  </w:style>
  <w:style w:type="paragraph" w:styleId="22">
    <w:name w:val="Normal (Web)"/>
    <w:basedOn w:val="1"/>
    <w:qFormat/>
    <w:uiPriority w:val="0"/>
    <w:pPr>
      <w:spacing w:before="100" w:beforeAutospacing="1" w:after="100" w:afterAutospacing="1"/>
      <w:jc w:val="left"/>
    </w:pPr>
    <w:rPr>
      <w:rFonts w:ascii="Calibri" w:hAnsi="Calibri"/>
      <w:kern w:val="0"/>
      <w:sz w:val="24"/>
      <w:szCs w:val="24"/>
    </w:rPr>
  </w:style>
  <w:style w:type="paragraph" w:styleId="23">
    <w:name w:val="annotation subject"/>
    <w:basedOn w:val="8"/>
    <w:next w:val="8"/>
    <w:link w:val="43"/>
    <w:unhideWhenUsed/>
    <w:qFormat/>
    <w:uiPriority w:val="99"/>
    <w:rPr>
      <w:rFonts w:asciiTheme="minorHAnsi" w:hAnsiTheme="minorHAnsi" w:cstheme="minorBidi"/>
      <w:b/>
      <w:bCs/>
      <w:szCs w:val="22"/>
    </w:rPr>
  </w:style>
  <w:style w:type="paragraph" w:styleId="24">
    <w:name w:val="Body Text First Indent 2"/>
    <w:basedOn w:val="11"/>
    <w:unhideWhenUsed/>
    <w:qFormat/>
    <w:uiPriority w:val="99"/>
    <w:pPr>
      <w:ind w:firstLine="420" w:firstLineChars="200"/>
    </w:pPr>
    <w:rPr>
      <w:szCs w:val="20"/>
    </w:rPr>
  </w:style>
  <w:style w:type="table" w:styleId="26">
    <w:name w:val="Table Grid"/>
    <w:basedOn w:val="25"/>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22"/>
    <w:rPr>
      <w:b/>
    </w:rPr>
  </w:style>
  <w:style w:type="character" w:styleId="29">
    <w:name w:val="page number"/>
    <w:qFormat/>
    <w:uiPriority w:val="0"/>
  </w:style>
  <w:style w:type="character" w:styleId="30">
    <w:name w:val="Hyperlink"/>
    <w:qFormat/>
    <w:uiPriority w:val="99"/>
    <w:rPr>
      <w:color w:val="0000FF"/>
      <w:u w:val="single"/>
    </w:rPr>
  </w:style>
  <w:style w:type="character" w:styleId="31">
    <w:name w:val="annotation reference"/>
    <w:unhideWhenUsed/>
    <w:qFormat/>
    <w:uiPriority w:val="0"/>
    <w:rPr>
      <w:sz w:val="21"/>
      <w:szCs w:val="21"/>
    </w:rPr>
  </w:style>
  <w:style w:type="character" w:customStyle="1" w:styleId="32">
    <w:name w:val="标题 1 字符"/>
    <w:basedOn w:val="27"/>
    <w:link w:val="3"/>
    <w:qFormat/>
    <w:uiPriority w:val="0"/>
    <w:rPr>
      <w:rFonts w:ascii="黑体" w:hAnsi="Times New Roman" w:eastAsia="宋体" w:cs="Times New Roman"/>
      <w:b/>
      <w:kern w:val="2"/>
      <w:sz w:val="32"/>
      <w:szCs w:val="24"/>
    </w:rPr>
  </w:style>
  <w:style w:type="character" w:customStyle="1" w:styleId="33">
    <w:name w:val="标题 2 字符"/>
    <w:basedOn w:val="27"/>
    <w:link w:val="4"/>
    <w:qFormat/>
    <w:uiPriority w:val="0"/>
    <w:rPr>
      <w:rFonts w:ascii="Arial" w:hAnsi="Arial" w:eastAsia="黑体" w:cs="Times New Roman"/>
      <w:b/>
      <w:sz w:val="32"/>
      <w:szCs w:val="20"/>
    </w:rPr>
  </w:style>
  <w:style w:type="character" w:customStyle="1" w:styleId="34">
    <w:name w:val="标题 3 字符"/>
    <w:basedOn w:val="27"/>
    <w:link w:val="5"/>
    <w:qFormat/>
    <w:uiPriority w:val="0"/>
    <w:rPr>
      <w:rFonts w:ascii="Times New Roman" w:hAnsi="Times New Roman" w:eastAsia="宋体" w:cs="Times New Roman"/>
      <w:b/>
      <w:sz w:val="32"/>
      <w:szCs w:val="20"/>
    </w:rPr>
  </w:style>
  <w:style w:type="character" w:customStyle="1" w:styleId="35">
    <w:name w:val="批注框文本 Char"/>
    <w:qFormat/>
    <w:uiPriority w:val="99"/>
    <w:rPr>
      <w:rFonts w:eastAsia="宋体"/>
      <w:sz w:val="18"/>
      <w:szCs w:val="18"/>
    </w:rPr>
  </w:style>
  <w:style w:type="character" w:customStyle="1" w:styleId="36">
    <w:name w:val="批注主题 Char"/>
    <w:qFormat/>
    <w:uiPriority w:val="99"/>
    <w:rPr>
      <w:rFonts w:eastAsia="宋体"/>
      <w:b/>
      <w:bCs/>
    </w:rPr>
  </w:style>
  <w:style w:type="character" w:customStyle="1" w:styleId="37">
    <w:name w:val="文档结构图 Char"/>
    <w:qFormat/>
    <w:uiPriority w:val="99"/>
    <w:rPr>
      <w:rFonts w:ascii="宋体" w:eastAsia="宋体"/>
      <w:sz w:val="18"/>
      <w:szCs w:val="18"/>
    </w:rPr>
  </w:style>
  <w:style w:type="character" w:customStyle="1" w:styleId="38">
    <w:name w:val="批注文字 Char"/>
    <w:semiHidden/>
    <w:qFormat/>
    <w:uiPriority w:val="99"/>
    <w:rPr>
      <w:rFonts w:eastAsia="宋体"/>
      <w:kern w:val="2"/>
      <w:sz w:val="21"/>
    </w:rPr>
  </w:style>
  <w:style w:type="character" w:customStyle="1" w:styleId="39">
    <w:name w:val="页脚 Char"/>
    <w:qFormat/>
    <w:uiPriority w:val="0"/>
    <w:rPr>
      <w:rFonts w:eastAsia="宋体"/>
      <w:sz w:val="18"/>
    </w:rPr>
  </w:style>
  <w:style w:type="character" w:customStyle="1" w:styleId="40">
    <w:name w:val="纯文本 Char"/>
    <w:qFormat/>
    <w:uiPriority w:val="0"/>
    <w:rPr>
      <w:rFonts w:ascii="宋体" w:hAnsi="宋体"/>
      <w:sz w:val="26"/>
    </w:rPr>
  </w:style>
  <w:style w:type="character" w:customStyle="1" w:styleId="41">
    <w:name w:val="文档结构图 字符"/>
    <w:basedOn w:val="27"/>
    <w:link w:val="7"/>
    <w:semiHidden/>
    <w:qFormat/>
    <w:uiPriority w:val="99"/>
    <w:rPr>
      <w:rFonts w:ascii="宋体" w:hAnsi="Times New Roman" w:eastAsia="宋体" w:cs="Times New Roman"/>
      <w:sz w:val="18"/>
      <w:szCs w:val="18"/>
    </w:rPr>
  </w:style>
  <w:style w:type="character" w:customStyle="1" w:styleId="42">
    <w:name w:val="批注文字 字符"/>
    <w:basedOn w:val="27"/>
    <w:link w:val="8"/>
    <w:qFormat/>
    <w:uiPriority w:val="99"/>
    <w:rPr>
      <w:rFonts w:ascii="Times New Roman" w:hAnsi="Times New Roman" w:eastAsia="宋体" w:cs="Times New Roman"/>
      <w:szCs w:val="20"/>
    </w:rPr>
  </w:style>
  <w:style w:type="character" w:customStyle="1" w:styleId="43">
    <w:name w:val="批注主题 字符"/>
    <w:basedOn w:val="42"/>
    <w:link w:val="23"/>
    <w:semiHidden/>
    <w:qFormat/>
    <w:uiPriority w:val="99"/>
    <w:rPr>
      <w:rFonts w:ascii="Times New Roman" w:hAnsi="Times New Roman" w:eastAsia="宋体" w:cs="Times New Roman"/>
      <w:b/>
      <w:bCs/>
      <w:szCs w:val="20"/>
    </w:rPr>
  </w:style>
  <w:style w:type="character" w:customStyle="1" w:styleId="44">
    <w:name w:val="正文文本 字符"/>
    <w:basedOn w:val="27"/>
    <w:link w:val="9"/>
    <w:qFormat/>
    <w:uiPriority w:val="0"/>
    <w:rPr>
      <w:rFonts w:ascii="Times New Roman" w:hAnsi="Times New Roman" w:eastAsia="宋体" w:cs="Times New Roman"/>
      <w:szCs w:val="24"/>
    </w:rPr>
  </w:style>
  <w:style w:type="character" w:customStyle="1" w:styleId="45">
    <w:name w:val="正文文本缩进 字符"/>
    <w:basedOn w:val="27"/>
    <w:link w:val="11"/>
    <w:qFormat/>
    <w:uiPriority w:val="0"/>
    <w:rPr>
      <w:rFonts w:ascii="宋体" w:hAnsi="Times New Roman" w:eastAsia="宋体" w:cs="Century"/>
      <w:spacing w:val="2"/>
      <w:szCs w:val="24"/>
    </w:rPr>
  </w:style>
  <w:style w:type="character" w:customStyle="1" w:styleId="46">
    <w:name w:val="纯文本 字符"/>
    <w:basedOn w:val="27"/>
    <w:link w:val="13"/>
    <w:qFormat/>
    <w:uiPriority w:val="99"/>
    <w:rPr>
      <w:rFonts w:ascii="宋体" w:hAnsi="Courier New" w:eastAsia="宋体" w:cs="Courier New"/>
      <w:szCs w:val="21"/>
    </w:rPr>
  </w:style>
  <w:style w:type="character" w:customStyle="1" w:styleId="47">
    <w:name w:val="日期 字符"/>
    <w:basedOn w:val="27"/>
    <w:link w:val="14"/>
    <w:qFormat/>
    <w:uiPriority w:val="0"/>
    <w:rPr>
      <w:rFonts w:ascii="宋体" w:hAnsi="宋体" w:eastAsia="宋体" w:cs="Times New Roman"/>
      <w:sz w:val="24"/>
      <w:szCs w:val="20"/>
    </w:rPr>
  </w:style>
  <w:style w:type="character" w:customStyle="1" w:styleId="48">
    <w:name w:val="正文文本缩进 2 字符"/>
    <w:basedOn w:val="27"/>
    <w:link w:val="15"/>
    <w:qFormat/>
    <w:uiPriority w:val="0"/>
    <w:rPr>
      <w:rFonts w:ascii="Times New Roman" w:hAnsi="Times New Roman" w:eastAsia="宋体" w:cs="Times New Roman"/>
      <w:szCs w:val="24"/>
    </w:rPr>
  </w:style>
  <w:style w:type="character" w:customStyle="1" w:styleId="49">
    <w:name w:val="批注框文本 字符"/>
    <w:basedOn w:val="27"/>
    <w:link w:val="16"/>
    <w:semiHidden/>
    <w:qFormat/>
    <w:uiPriority w:val="99"/>
    <w:rPr>
      <w:rFonts w:ascii="Times New Roman" w:hAnsi="Times New Roman" w:eastAsia="宋体" w:cs="Times New Roman"/>
      <w:sz w:val="18"/>
      <w:szCs w:val="18"/>
    </w:rPr>
  </w:style>
  <w:style w:type="character" w:customStyle="1" w:styleId="50">
    <w:name w:val="页脚 字符"/>
    <w:basedOn w:val="27"/>
    <w:link w:val="17"/>
    <w:semiHidden/>
    <w:qFormat/>
    <w:uiPriority w:val="99"/>
    <w:rPr>
      <w:rFonts w:ascii="Times New Roman" w:hAnsi="Times New Roman" w:eastAsia="宋体" w:cs="Times New Roman"/>
      <w:sz w:val="18"/>
      <w:szCs w:val="18"/>
    </w:rPr>
  </w:style>
  <w:style w:type="character" w:customStyle="1" w:styleId="51">
    <w:name w:val="页眉 字符"/>
    <w:basedOn w:val="27"/>
    <w:link w:val="18"/>
    <w:qFormat/>
    <w:uiPriority w:val="0"/>
    <w:rPr>
      <w:rFonts w:ascii="Times New Roman" w:hAnsi="Times New Roman" w:eastAsia="宋体" w:cs="Times New Roman"/>
      <w:sz w:val="18"/>
      <w:szCs w:val="20"/>
    </w:rPr>
  </w:style>
  <w:style w:type="paragraph" w:customStyle="1" w:styleId="52">
    <w:name w:val="列出段落1"/>
    <w:basedOn w:val="1"/>
    <w:qFormat/>
    <w:uiPriority w:val="34"/>
    <w:pPr>
      <w:ind w:firstLine="420" w:firstLineChars="200"/>
    </w:pPr>
  </w:style>
  <w:style w:type="paragraph" w:customStyle="1" w:styleId="53">
    <w:name w:val="纯文本1"/>
    <w:next w:val="20"/>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54">
    <w:name w:val="列出段落11"/>
    <w:basedOn w:val="1"/>
    <w:qFormat/>
    <w:uiPriority w:val="99"/>
    <w:pPr>
      <w:ind w:firstLine="420" w:firstLineChars="200"/>
    </w:pPr>
  </w:style>
  <w:style w:type="paragraph" w:customStyle="1" w:styleId="55">
    <w:name w:val="正文文本缩进1"/>
    <w:basedOn w:val="1"/>
    <w:qFormat/>
    <w:uiPriority w:val="0"/>
    <w:pPr>
      <w:spacing w:line="200" w:lineRule="exact"/>
      <w:ind w:firstLine="301"/>
    </w:pPr>
    <w:rPr>
      <w:rFonts w:ascii="宋体" w:hAnsi="Courier New"/>
      <w:spacing w:val="-4"/>
      <w:sz w:val="18"/>
    </w:rPr>
  </w:style>
  <w:style w:type="paragraph" w:customStyle="1" w:styleId="56">
    <w:name w:val="正文文本缩进2"/>
    <w:basedOn w:val="1"/>
    <w:qFormat/>
    <w:uiPriority w:val="0"/>
    <w:pPr>
      <w:spacing w:line="200" w:lineRule="exact"/>
      <w:ind w:firstLine="301"/>
    </w:pPr>
    <w:rPr>
      <w:rFonts w:ascii="宋体" w:hAnsi="Courier New"/>
      <w:spacing w:val="-4"/>
      <w:kern w:val="0"/>
      <w:sz w:val="18"/>
    </w:rPr>
  </w:style>
  <w:style w:type="character" w:customStyle="1" w:styleId="57">
    <w:name w:val="页码1"/>
    <w:basedOn w:val="27"/>
    <w:qFormat/>
    <w:uiPriority w:val="0"/>
  </w:style>
  <w:style w:type="paragraph" w:customStyle="1" w:styleId="58">
    <w:name w:val="正文文本缩进21"/>
    <w:basedOn w:val="1"/>
    <w:qFormat/>
    <w:uiPriority w:val="0"/>
    <w:pPr>
      <w:spacing w:line="200" w:lineRule="exact"/>
      <w:ind w:firstLine="301"/>
    </w:pPr>
    <w:rPr>
      <w:rFonts w:ascii="宋体" w:hAnsi="Courier New"/>
      <w:spacing w:val="-4"/>
      <w:kern w:val="0"/>
      <w:sz w:val="18"/>
    </w:rPr>
  </w:style>
  <w:style w:type="paragraph" w:customStyle="1" w:styleId="59">
    <w:name w:val="修订1"/>
    <w:hidden/>
    <w:semiHidden/>
    <w:qFormat/>
    <w:uiPriority w:val="99"/>
    <w:rPr>
      <w:rFonts w:ascii="Times New Roman" w:hAnsi="Times New Roman" w:eastAsia="宋体" w:cs="Times New Roman"/>
      <w:kern w:val="2"/>
      <w:sz w:val="21"/>
      <w:lang w:val="en-US" w:eastAsia="zh-CN" w:bidi="ar-SA"/>
    </w:rPr>
  </w:style>
  <w:style w:type="character" w:customStyle="1" w:styleId="60">
    <w:name w:val="正文缩进 字符"/>
    <w:link w:val="6"/>
    <w:qFormat/>
    <w:uiPriority w:val="99"/>
    <w:rPr>
      <w:rFonts w:ascii="宋体" w:hAnsi="Times New Roman" w:eastAsia="宋体" w:cs="Times New Roman"/>
      <w:kern w:val="2"/>
      <w:sz w:val="24"/>
    </w:rPr>
  </w:style>
  <w:style w:type="paragraph" w:customStyle="1" w:styleId="61">
    <w:name w:val="Í¼±íÕýÎÄ"/>
    <w:basedOn w:val="1"/>
    <w:next w:val="6"/>
    <w:qFormat/>
    <w:uiPriority w:val="0"/>
    <w:pPr>
      <w:ind w:firstLine="420" w:firstLineChars="200"/>
    </w:pPr>
    <w:rPr>
      <w:sz w:val="24"/>
    </w:rPr>
  </w:style>
  <w:style w:type="paragraph" w:styleId="62">
    <w:name w:val="List Paragraph"/>
    <w:basedOn w:val="1"/>
    <w:qFormat/>
    <w:uiPriority w:val="34"/>
    <w:pPr>
      <w:ind w:firstLine="420" w:firstLineChars="200"/>
    </w:pPr>
    <w:rPr>
      <w:rFonts w:ascii="Calibri" w:hAnsi="Calibri"/>
      <w:szCs w:val="22"/>
    </w:rPr>
  </w:style>
  <w:style w:type="character" w:customStyle="1" w:styleId="63">
    <w:name w:val="font01"/>
    <w:qFormat/>
    <w:uiPriority w:val="0"/>
    <w:rPr>
      <w:rFonts w:hint="eastAsia" w:ascii="宋体" w:hAnsi="宋体" w:eastAsia="宋体" w:cs="宋体"/>
      <w:color w:val="000000"/>
      <w:sz w:val="24"/>
      <w:szCs w:val="24"/>
      <w:u w:val="none"/>
    </w:rPr>
  </w:style>
  <w:style w:type="paragraph" w:customStyle="1" w:styleId="64">
    <w:name w:val="纯文本2"/>
    <w:next w:val="20"/>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5">
    <w:name w:val="TOC 标题1"/>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 w:type="paragraph" w:customStyle="1" w:styleId="66">
    <w:name w:val="修订2"/>
    <w:hidden/>
    <w:unhideWhenUsed/>
    <w:qFormat/>
    <w:uiPriority w:val="99"/>
    <w:rPr>
      <w:rFonts w:ascii="Times New Roman" w:hAnsi="Times New Roman" w:eastAsia="宋体" w:cs="Times New Roman"/>
      <w:kern w:val="2"/>
      <w:sz w:val="21"/>
      <w:lang w:val="en-US" w:eastAsia="zh-CN" w:bidi="ar-SA"/>
    </w:rPr>
  </w:style>
  <w:style w:type="paragraph" w:customStyle="1" w:styleId="67">
    <w:name w:val="Default"/>
    <w:qFormat/>
    <w:uiPriority w:val="0"/>
    <w:pPr>
      <w:widowControl w:val="0"/>
      <w:autoSpaceDE w:val="0"/>
      <w:autoSpaceDN w:val="0"/>
      <w:adjustRightInd w:val="0"/>
    </w:pPr>
    <w:rPr>
      <w:rFonts w:ascii="隶书" w:hAnsi="隶书" w:eastAsia="宋体" w:cs="隶书"/>
      <w:color w:val="000000"/>
      <w:sz w:val="24"/>
      <w:szCs w:val="24"/>
      <w:lang w:val="en-US" w:eastAsia="zh-CN" w:bidi="ar-SA"/>
    </w:rPr>
  </w:style>
  <w:style w:type="paragraph" w:customStyle="1" w:styleId="68">
    <w:name w:val="成文日期"/>
    <w:basedOn w:val="1"/>
    <w:link w:val="69"/>
    <w:qFormat/>
    <w:uiPriority w:val="0"/>
    <w:pPr>
      <w:spacing w:line="570" w:lineRule="exact"/>
      <w:ind w:right="400" w:rightChars="400" w:firstLine="200" w:firstLineChars="200"/>
      <w:jc w:val="right"/>
    </w:pPr>
    <w:rPr>
      <w:rFonts w:ascii="仿宋_GB2312" w:eastAsia="仿宋_GB2312"/>
      <w:sz w:val="32"/>
      <w:lang w:val="zh-CN"/>
    </w:rPr>
  </w:style>
  <w:style w:type="character" w:customStyle="1" w:styleId="69">
    <w:name w:val="成文日期 Char"/>
    <w:link w:val="68"/>
    <w:qFormat/>
    <w:uiPriority w:val="0"/>
    <w:rPr>
      <w:rFonts w:ascii="仿宋_GB2312" w:hAnsi="Times New Roman" w:eastAsia="仿宋_GB2312" w:cs="Times New Roman"/>
      <w:kern w:val="2"/>
      <w:sz w:val="32"/>
      <w:lang w:val="zh-CN" w:eastAsia="zh-CN"/>
    </w:rPr>
  </w:style>
  <w:style w:type="paragraph" w:customStyle="1" w:styleId="70">
    <w:name w:val="材料标题"/>
    <w:basedOn w:val="1"/>
    <w:link w:val="71"/>
    <w:qFormat/>
    <w:uiPriority w:val="0"/>
    <w:pPr>
      <w:adjustRightInd w:val="0"/>
      <w:snapToGrid w:val="0"/>
      <w:spacing w:line="700" w:lineRule="exact"/>
      <w:jc w:val="center"/>
    </w:pPr>
    <w:rPr>
      <w:rFonts w:ascii="方正小标宋简体" w:eastAsia="方正小标宋简体"/>
      <w:color w:val="000000"/>
      <w:sz w:val="44"/>
      <w:szCs w:val="44"/>
    </w:rPr>
  </w:style>
  <w:style w:type="character" w:customStyle="1" w:styleId="71">
    <w:name w:val="材料标题 Char"/>
    <w:link w:val="70"/>
    <w:qFormat/>
    <w:uiPriority w:val="0"/>
    <w:rPr>
      <w:rFonts w:ascii="方正小标宋简体" w:hAnsi="Times New Roman" w:eastAsia="方正小标宋简体" w:cs="Times New Roman"/>
      <w:color w:val="000000"/>
      <w:kern w:val="2"/>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customShpInfo spid="_x0000_s4099"/>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9A9E21-2F18-48CC-BC5B-D09234809879}">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30</Pages>
  <Words>10382</Words>
  <Characters>11106</Characters>
  <Lines>358</Lines>
  <Paragraphs>100</Paragraphs>
  <TotalTime>1</TotalTime>
  <ScaleCrop>false</ScaleCrop>
  <LinksUpToDate>false</LinksUpToDate>
  <CharactersWithSpaces>11387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2021-06-21T02:19:00Z</dcterms:created>
  <dc:creator>王波</dc:creator>
  <cp:lastModifiedBy>兰馥郁</cp:lastModifiedBy>
  <cp:lastPrinted>2017-10-08T03:39:00Z</cp:lastPrinted>
  <dcterms:modified xsi:type="dcterms:W3CDTF">2026-09-14T01:57:23Z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931B81F61A4D4C45BA90FBB0ECCB396F</vt:lpwstr>
  </property>
  <property fmtid="{D5CDD505-2E9C-101B-9397-08002B2CF9AE}" pid="4" name="KSOTemplateDocerSaveRecord">
    <vt:lpwstr>eyJoZGlkIjoiZDBiNTA3OWI5NTI5NzliMDdhOTA5Nzg1YzIyNTUzZDkiLCJ1c2VySWQiOiIyNzYwMTEwNDMifQ==</vt:lpwstr>
  </property>
</Properties>
</file>